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042" w:rsidRDefault="005F3042" w:rsidP="00FB248E">
      <w:pPr>
        <w:pStyle w:val="2"/>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F3042" w:rsidTr="001259A6">
        <w:trPr>
          <w:jc w:val="center"/>
        </w:trPr>
        <w:tc>
          <w:tcPr>
            <w:tcW w:w="743" w:type="dxa"/>
          </w:tcPr>
          <w:p w:rsidR="005F3042" w:rsidRDefault="005F3042" w:rsidP="001259A6">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2"/>
          </w:tcPr>
          <w:p w:rsidR="005F3042" w:rsidRDefault="005F3042" w:rsidP="001259A6">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בן שלו</w:t>
                </w:r>
              </w:sdtContent>
            </w:sdt>
          </w:p>
          <w:p w:rsidR="005F3042" w:rsidRDefault="005F3042" w:rsidP="001259A6">
            <w:pPr>
              <w:suppressLineNumbers/>
              <w:rPr>
                <w:rFonts w:ascii="Arial" w:hAnsi="Arial" w:cs="FrankRuehl"/>
                <w:sz w:val="28"/>
                <w:szCs w:val="28"/>
                <w:highlight w:val="yellow"/>
              </w:rPr>
            </w:pPr>
          </w:p>
        </w:tc>
      </w:tr>
      <w:tr w:rsidR="005F3042" w:rsidTr="001259A6">
        <w:trPr>
          <w:jc w:val="center"/>
        </w:trPr>
        <w:tc>
          <w:tcPr>
            <w:tcW w:w="3249" w:type="dxa"/>
            <w:gridSpan w:val="2"/>
          </w:tcPr>
          <w:p w:rsidR="005F3042" w:rsidRDefault="005F3042" w:rsidP="001259A6">
            <w:pPr>
              <w:suppressLineNumbers/>
              <w:rPr>
                <w:rFonts w:ascii="Arial" w:hAnsi="Arial"/>
                <w:b/>
                <w:bCs/>
                <w:noProof w:val="0"/>
                <w:sz w:val="26"/>
                <w:szCs w:val="26"/>
              </w:rPr>
            </w:pPr>
          </w:p>
          <w:sdt>
            <w:sdtPr>
              <w:rPr>
                <w:rtl/>
              </w:rPr>
              <w:alias w:val="1180"/>
              <w:tag w:val="1180"/>
              <w:id w:val="637458750"/>
              <w:text w:multiLine="1"/>
            </w:sdtPr>
            <w:sdtEndPr/>
            <w:sdtContent>
              <w:p w:rsidR="005F3042" w:rsidRDefault="005F3042" w:rsidP="001259A6">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5F3042" w:rsidRDefault="005F3042" w:rsidP="001259A6">
            <w:pPr>
              <w:suppressLineNumbers/>
              <w:rPr>
                <w:rFonts w:ascii="Arial" w:hAnsi="Arial"/>
                <w:b/>
                <w:bCs/>
                <w:noProof w:val="0"/>
                <w:sz w:val="26"/>
                <w:szCs w:val="26"/>
                <w:rtl/>
              </w:rPr>
            </w:pPr>
          </w:p>
          <w:p w:rsidR="005F3042" w:rsidRDefault="00F7652F" w:rsidP="00E221B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E221BF">
                  <w:rPr>
                    <w:rFonts w:ascii="Arial" w:hAnsi="Arial"/>
                    <w:b/>
                    <w:bCs/>
                    <w:noProof w:val="0"/>
                    <w:sz w:val="26"/>
                    <w:szCs w:val="26"/>
                    <w:rtl/>
                  </w:rPr>
                  <w:t>י</w:t>
                </w:r>
                <w:r w:rsidR="00E221BF">
                  <w:rPr>
                    <w:rFonts w:ascii="Arial" w:hAnsi="Arial" w:hint="cs"/>
                    <w:b/>
                    <w:bCs/>
                    <w:noProof w:val="0"/>
                    <w:sz w:val="26"/>
                    <w:szCs w:val="26"/>
                    <w:rtl/>
                  </w:rPr>
                  <w:t>.א.</w:t>
                </w:r>
              </w:sdtContent>
            </w:sdt>
            <w:r w:rsidR="005F3042"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BEC940CC07C542F2B19AC4E3AD9C51C7"/>
                </w:placeholder>
                <w:text w:multiLine="1"/>
              </w:sdtPr>
              <w:sdtEndPr/>
              <w:sdtContent>
                <w:r w:rsidR="005F3042">
                  <w:rPr>
                    <w:rFonts w:ascii="Arial" w:hAnsi="Arial" w:hint="eastAsia"/>
                    <w:b/>
                    <w:bCs/>
                    <w:noProof w:val="0"/>
                    <w:sz w:val="26"/>
                    <w:szCs w:val="26"/>
                    <w:rtl/>
                  </w:rPr>
                  <w:t>ת"ז</w:t>
                </w:r>
              </w:sdtContent>
            </w:sdt>
            <w:r w:rsidR="005F3042" w:rsidRPr="00E54CD9">
              <w:rPr>
                <w:rFonts w:ascii="Arial" w:hAnsi="Arial" w:hint="cs"/>
                <w:b/>
                <w:bCs/>
                <w:noProof w:val="0"/>
                <w:sz w:val="26"/>
                <w:szCs w:val="26"/>
                <w:rtl/>
              </w:rPr>
              <w:t xml:space="preserve"> </w:t>
            </w:r>
            <w:r w:rsidR="005F3042" w:rsidRPr="00E54CD9">
              <w:rPr>
                <w:rFonts w:ascii="Arial" w:hAnsi="Arial"/>
                <w:b/>
                <w:bCs/>
                <w:noProof w:val="0"/>
                <w:sz w:val="26"/>
                <w:szCs w:val="26"/>
                <w:rtl/>
              </w:rPr>
              <w:t xml:space="preserve"> </w:t>
            </w:r>
            <w:r w:rsidR="00E221BF">
              <w:rPr>
                <w:rFonts w:hint="cs"/>
                <w:b/>
                <w:bCs/>
                <w:noProof w:val="0"/>
                <w:sz w:val="26"/>
                <w:szCs w:val="26"/>
              </w:rPr>
              <w:t>XXX</w:t>
            </w:r>
          </w:p>
        </w:tc>
      </w:tr>
      <w:tr w:rsidR="005F3042" w:rsidTr="001259A6">
        <w:trPr>
          <w:jc w:val="center"/>
        </w:trPr>
        <w:tc>
          <w:tcPr>
            <w:tcW w:w="8820" w:type="dxa"/>
            <w:gridSpan w:val="3"/>
          </w:tcPr>
          <w:p w:rsidR="005F3042" w:rsidRDefault="005F3042" w:rsidP="001259A6">
            <w:pPr>
              <w:suppressLineNumbers/>
              <w:rPr>
                <w:rFonts w:ascii="Arial" w:hAnsi="Arial"/>
                <w:b/>
                <w:bCs/>
                <w:noProof w:val="0"/>
                <w:sz w:val="26"/>
                <w:szCs w:val="26"/>
                <w:rtl/>
              </w:rPr>
            </w:pPr>
          </w:p>
          <w:p w:rsidR="005F3042" w:rsidRDefault="005F3042" w:rsidP="001259A6">
            <w:pPr>
              <w:suppressLineNumbers/>
              <w:jc w:val="center"/>
              <w:rPr>
                <w:rFonts w:ascii="Arial" w:hAnsi="Arial"/>
                <w:b/>
                <w:bCs/>
                <w:noProof w:val="0"/>
                <w:sz w:val="26"/>
                <w:szCs w:val="26"/>
                <w:rtl/>
              </w:rPr>
            </w:pPr>
            <w:r>
              <w:rPr>
                <w:rFonts w:ascii="Arial" w:hAnsi="Arial"/>
                <w:b/>
                <w:bCs/>
                <w:noProof w:val="0"/>
                <w:sz w:val="26"/>
                <w:szCs w:val="26"/>
                <w:rtl/>
              </w:rPr>
              <w:t>נגד</w:t>
            </w:r>
          </w:p>
          <w:p w:rsidR="005F3042" w:rsidRDefault="005F3042" w:rsidP="001259A6">
            <w:pPr>
              <w:suppressLineNumbers/>
              <w:rPr>
                <w:rFonts w:ascii="Arial" w:hAnsi="Arial"/>
                <w:b/>
                <w:bCs/>
                <w:noProof w:val="0"/>
                <w:sz w:val="26"/>
                <w:szCs w:val="26"/>
              </w:rPr>
            </w:pPr>
          </w:p>
        </w:tc>
      </w:tr>
      <w:tr w:rsidR="005F3042" w:rsidTr="001259A6">
        <w:trPr>
          <w:jc w:val="center"/>
        </w:trPr>
        <w:tc>
          <w:tcPr>
            <w:tcW w:w="3249" w:type="dxa"/>
            <w:gridSpan w:val="2"/>
          </w:tcPr>
          <w:p w:rsidR="005F3042" w:rsidRDefault="00F7652F" w:rsidP="001259A6">
            <w:pPr>
              <w:suppressLineNumbers/>
              <w:rPr>
                <w:rFonts w:ascii="Arial" w:hAnsi="Arial"/>
                <w:b/>
                <w:bCs/>
                <w:noProof w:val="0"/>
                <w:sz w:val="26"/>
                <w:szCs w:val="26"/>
              </w:rPr>
            </w:pPr>
            <w:sdt>
              <w:sdtPr>
                <w:rPr>
                  <w:rtl/>
                </w:rPr>
                <w:alias w:val="1184"/>
                <w:tag w:val="1184"/>
                <w:id w:val="-340621022"/>
                <w:text w:multiLine="1"/>
              </w:sdtPr>
              <w:sdtEndPr/>
              <w:sdtContent>
                <w:r w:rsidR="005F3042">
                  <w:rPr>
                    <w:rFonts w:ascii="Arial" w:hAnsi="Arial"/>
                    <w:b/>
                    <w:bCs/>
                    <w:noProof w:val="0"/>
                    <w:sz w:val="26"/>
                    <w:szCs w:val="26"/>
                    <w:rtl/>
                  </w:rPr>
                  <w:t>נתבעים</w:t>
                </w:r>
              </w:sdtContent>
            </w:sdt>
          </w:p>
        </w:tc>
        <w:tc>
          <w:tcPr>
            <w:tcW w:w="5571" w:type="dxa"/>
          </w:tcPr>
          <w:p w:rsidR="005F3042" w:rsidRDefault="005F3042" w:rsidP="001259A6">
            <w:pPr>
              <w:suppressLineNumbers/>
              <w:rPr>
                <w:b/>
                <w:bCs/>
                <w:noProof w:val="0"/>
                <w:sz w:val="26"/>
                <w:szCs w:val="26"/>
                <w:rtl/>
              </w:rPr>
            </w:pPr>
          </w:p>
          <w:p w:rsidR="005F3042" w:rsidRPr="00E54CD9" w:rsidRDefault="00F7652F" w:rsidP="00E221BF">
            <w:pPr>
              <w:suppressLineNumbers/>
              <w:rPr>
                <w:rFonts w:ascii="Arial" w:hAnsi="Arial"/>
                <w:b/>
                <w:bCs/>
                <w:noProof w:val="0"/>
                <w:sz w:val="26"/>
                <w:szCs w:val="26"/>
                <w:rtl/>
              </w:rPr>
            </w:pPr>
            <w:sdt>
              <w:sdtPr>
                <w:rPr>
                  <w:rtl/>
                </w:rPr>
                <w:alias w:val="1571"/>
                <w:tag w:val="1571"/>
                <w:id w:val="1028836282"/>
                <w:text w:multiLine="1"/>
              </w:sdtPr>
              <w:sdtEndPr/>
              <w:sdtContent>
                <w:r w:rsidR="005F3042">
                  <w:rPr>
                    <w:rFonts w:ascii="Arial" w:hAnsi="Arial"/>
                    <w:b/>
                    <w:bCs/>
                    <w:noProof w:val="0"/>
                    <w:sz w:val="26"/>
                    <w:szCs w:val="26"/>
                    <w:rtl/>
                  </w:rPr>
                  <w:t>1</w:t>
                </w:r>
              </w:sdtContent>
            </w:sdt>
            <w:r w:rsidR="005F3042">
              <w:rPr>
                <w:rFonts w:ascii="Arial" w:hAnsi="Arial"/>
                <w:b/>
                <w:bCs/>
                <w:noProof w:val="0"/>
                <w:sz w:val="26"/>
                <w:szCs w:val="26"/>
                <w:rtl/>
              </w:rPr>
              <w:t>.</w:t>
            </w:r>
            <w:r w:rsidR="005F3042">
              <w:rPr>
                <w:rFonts w:ascii="Arial" w:hAnsi="Arial" w:hint="cs"/>
                <w:b/>
                <w:bCs/>
                <w:noProof w:val="0"/>
                <w:sz w:val="26"/>
                <w:szCs w:val="26"/>
                <w:rtl/>
              </w:rPr>
              <w:t xml:space="preserve"> </w:t>
            </w:r>
            <w:sdt>
              <w:sdtPr>
                <w:rPr>
                  <w:rtl/>
                </w:rPr>
                <w:alias w:val="1486"/>
                <w:tag w:val="1486"/>
                <w:id w:val="-309872140"/>
                <w:text w:multiLine="1"/>
              </w:sdtPr>
              <w:sdtEndPr/>
              <w:sdtContent>
                <w:r w:rsidR="00E221BF">
                  <w:rPr>
                    <w:rFonts w:ascii="Arial" w:hAnsi="Arial"/>
                    <w:b/>
                    <w:bCs/>
                    <w:noProof w:val="0"/>
                    <w:sz w:val="26"/>
                    <w:szCs w:val="26"/>
                    <w:rtl/>
                  </w:rPr>
                  <w:t>ע</w:t>
                </w:r>
                <w:r w:rsidR="00E221BF">
                  <w:rPr>
                    <w:rFonts w:ascii="Arial" w:hAnsi="Arial" w:hint="cs"/>
                    <w:b/>
                    <w:bCs/>
                    <w:noProof w:val="0"/>
                    <w:sz w:val="26"/>
                    <w:szCs w:val="26"/>
                    <w:rtl/>
                  </w:rPr>
                  <w:t>.א.</w:t>
                </w:r>
              </w:sdtContent>
            </w:sdt>
            <w:r w:rsidR="005F3042">
              <w:rPr>
                <w:rFonts w:hint="cs"/>
                <w:rtl/>
              </w:rPr>
              <w:t xml:space="preserve"> </w:t>
            </w:r>
            <w:sdt>
              <w:sdtPr>
                <w:rPr>
                  <w:rFonts w:ascii="Arial" w:hAnsi="Arial" w:hint="cs"/>
                  <w:b/>
                  <w:bCs/>
                  <w:noProof w:val="0"/>
                  <w:sz w:val="26"/>
                  <w:szCs w:val="26"/>
                  <w:rtl/>
                </w:rPr>
                <w:alias w:val="2317"/>
                <w:tag w:val="2317"/>
                <w:id w:val="266818274"/>
                <w:placeholder>
                  <w:docPart w:val="DF132CEC568243A3A96CB0E9394D500E"/>
                </w:placeholder>
                <w:text w:multiLine="1"/>
              </w:sdtPr>
              <w:sdtEndPr/>
              <w:sdtContent>
                <w:r w:rsidR="005F3042">
                  <w:rPr>
                    <w:rFonts w:ascii="Arial" w:hAnsi="Arial" w:hint="eastAsia"/>
                    <w:b/>
                    <w:bCs/>
                    <w:noProof w:val="0"/>
                    <w:sz w:val="26"/>
                    <w:szCs w:val="26"/>
                    <w:rtl/>
                  </w:rPr>
                  <w:t>ת"ז</w:t>
                </w:r>
              </w:sdtContent>
            </w:sdt>
            <w:r w:rsidR="005F3042" w:rsidRPr="00E54CD9">
              <w:rPr>
                <w:rFonts w:ascii="Arial" w:hAnsi="Arial" w:hint="cs"/>
                <w:b/>
                <w:bCs/>
                <w:noProof w:val="0"/>
                <w:sz w:val="26"/>
                <w:szCs w:val="26"/>
                <w:rtl/>
              </w:rPr>
              <w:t xml:space="preserve"> </w:t>
            </w:r>
            <w:r w:rsidR="00E221BF">
              <w:rPr>
                <w:rFonts w:ascii="Arial" w:hAnsi="Arial" w:hint="cs"/>
                <w:b/>
                <w:bCs/>
                <w:noProof w:val="0"/>
                <w:sz w:val="26"/>
                <w:szCs w:val="26"/>
              </w:rPr>
              <w:t>XXX</w:t>
            </w:r>
          </w:p>
          <w:p w:rsidR="005F3042" w:rsidRPr="00E54CD9" w:rsidRDefault="00F7652F" w:rsidP="00E221BF">
            <w:pPr>
              <w:suppressLineNumbers/>
              <w:rPr>
                <w:rFonts w:ascii="Arial" w:hAnsi="Arial"/>
                <w:b/>
                <w:bCs/>
                <w:noProof w:val="0"/>
                <w:sz w:val="26"/>
                <w:szCs w:val="26"/>
                <w:rtl/>
              </w:rPr>
            </w:pPr>
            <w:sdt>
              <w:sdtPr>
                <w:rPr>
                  <w:rtl/>
                </w:rPr>
                <w:alias w:val="1571"/>
                <w:tag w:val="1571"/>
                <w:id w:val="1813519905"/>
                <w:text w:multiLine="1"/>
              </w:sdtPr>
              <w:sdtEndPr/>
              <w:sdtContent>
                <w:r w:rsidR="005F3042">
                  <w:rPr>
                    <w:rFonts w:ascii="Arial" w:hAnsi="Arial"/>
                    <w:b/>
                    <w:bCs/>
                    <w:noProof w:val="0"/>
                    <w:sz w:val="26"/>
                    <w:szCs w:val="26"/>
                    <w:rtl/>
                  </w:rPr>
                  <w:t>2</w:t>
                </w:r>
              </w:sdtContent>
            </w:sdt>
            <w:r w:rsidR="005F3042">
              <w:rPr>
                <w:rFonts w:ascii="Arial" w:hAnsi="Arial"/>
                <w:b/>
                <w:bCs/>
                <w:noProof w:val="0"/>
                <w:sz w:val="26"/>
                <w:szCs w:val="26"/>
                <w:rtl/>
              </w:rPr>
              <w:t>.</w:t>
            </w:r>
            <w:r w:rsidR="005F3042">
              <w:rPr>
                <w:rFonts w:ascii="Arial" w:hAnsi="Arial" w:hint="cs"/>
                <w:b/>
                <w:bCs/>
                <w:noProof w:val="0"/>
                <w:sz w:val="26"/>
                <w:szCs w:val="26"/>
                <w:rtl/>
              </w:rPr>
              <w:t xml:space="preserve"> </w:t>
            </w:r>
            <w:sdt>
              <w:sdtPr>
                <w:rPr>
                  <w:rtl/>
                </w:rPr>
                <w:alias w:val="1486"/>
                <w:tag w:val="1486"/>
                <w:id w:val="48658769"/>
                <w:text w:multiLine="1"/>
              </w:sdtPr>
              <w:sdtEndPr/>
              <w:sdtContent>
                <w:r w:rsidR="00E221BF">
                  <w:rPr>
                    <w:rFonts w:ascii="Arial" w:hAnsi="Arial"/>
                    <w:b/>
                    <w:bCs/>
                    <w:noProof w:val="0"/>
                    <w:sz w:val="26"/>
                    <w:szCs w:val="26"/>
                    <w:rtl/>
                  </w:rPr>
                  <w:t>א</w:t>
                </w:r>
                <w:r w:rsidR="00E221BF">
                  <w:rPr>
                    <w:rFonts w:ascii="Arial" w:hAnsi="Arial" w:hint="cs"/>
                    <w:b/>
                    <w:bCs/>
                    <w:noProof w:val="0"/>
                    <w:sz w:val="26"/>
                    <w:szCs w:val="26"/>
                    <w:rtl/>
                  </w:rPr>
                  <w:t>.א.</w:t>
                </w:r>
              </w:sdtContent>
            </w:sdt>
            <w:r w:rsidR="005F3042">
              <w:rPr>
                <w:rFonts w:hint="cs"/>
                <w:rtl/>
              </w:rPr>
              <w:t xml:space="preserve"> </w:t>
            </w:r>
            <w:sdt>
              <w:sdtPr>
                <w:rPr>
                  <w:rFonts w:ascii="Arial" w:hAnsi="Arial" w:hint="cs"/>
                  <w:b/>
                  <w:bCs/>
                  <w:noProof w:val="0"/>
                  <w:sz w:val="26"/>
                  <w:szCs w:val="26"/>
                  <w:rtl/>
                </w:rPr>
                <w:alias w:val="2317"/>
                <w:tag w:val="2317"/>
                <w:id w:val="-2041427379"/>
                <w:placeholder>
                  <w:docPart w:val="DF132CEC568243A3A96CB0E9394D500E"/>
                </w:placeholder>
                <w:text w:multiLine="1"/>
              </w:sdtPr>
              <w:sdtEndPr/>
              <w:sdtContent>
                <w:r w:rsidR="005F3042">
                  <w:rPr>
                    <w:rFonts w:ascii="Arial" w:hAnsi="Arial" w:hint="eastAsia"/>
                    <w:b/>
                    <w:bCs/>
                    <w:noProof w:val="0"/>
                    <w:sz w:val="26"/>
                    <w:szCs w:val="26"/>
                    <w:rtl/>
                  </w:rPr>
                  <w:t>ת"ז</w:t>
                </w:r>
              </w:sdtContent>
            </w:sdt>
            <w:r w:rsidR="005F3042" w:rsidRPr="00E54CD9">
              <w:rPr>
                <w:rFonts w:ascii="Arial" w:hAnsi="Arial" w:hint="cs"/>
                <w:b/>
                <w:bCs/>
                <w:noProof w:val="0"/>
                <w:sz w:val="26"/>
                <w:szCs w:val="26"/>
                <w:rtl/>
              </w:rPr>
              <w:t xml:space="preserve"> </w:t>
            </w:r>
            <w:r w:rsidR="00E221BF">
              <w:rPr>
                <w:rFonts w:ascii="Arial" w:hAnsi="Arial" w:hint="cs"/>
                <w:b/>
                <w:bCs/>
                <w:noProof w:val="0"/>
                <w:sz w:val="26"/>
                <w:szCs w:val="26"/>
              </w:rPr>
              <w:t>XXX</w:t>
            </w:r>
          </w:p>
          <w:p w:rsidR="005F3042" w:rsidRPr="00E54CD9" w:rsidRDefault="00F7652F" w:rsidP="00E221BF">
            <w:pPr>
              <w:suppressLineNumbers/>
              <w:rPr>
                <w:rFonts w:ascii="Arial" w:hAnsi="Arial"/>
                <w:b/>
                <w:bCs/>
                <w:noProof w:val="0"/>
                <w:sz w:val="26"/>
                <w:szCs w:val="26"/>
                <w:rtl/>
              </w:rPr>
            </w:pPr>
            <w:sdt>
              <w:sdtPr>
                <w:rPr>
                  <w:rtl/>
                </w:rPr>
                <w:alias w:val="1571"/>
                <w:tag w:val="1571"/>
                <w:id w:val="-1285804198"/>
                <w:text w:multiLine="1"/>
              </w:sdtPr>
              <w:sdtEndPr/>
              <w:sdtContent>
                <w:r w:rsidR="005F3042">
                  <w:rPr>
                    <w:rFonts w:ascii="Arial" w:hAnsi="Arial"/>
                    <w:b/>
                    <w:bCs/>
                    <w:noProof w:val="0"/>
                    <w:sz w:val="26"/>
                    <w:szCs w:val="26"/>
                    <w:rtl/>
                  </w:rPr>
                  <w:t>3</w:t>
                </w:r>
              </w:sdtContent>
            </w:sdt>
            <w:r w:rsidR="005F3042">
              <w:rPr>
                <w:rFonts w:ascii="Arial" w:hAnsi="Arial"/>
                <w:b/>
                <w:bCs/>
                <w:noProof w:val="0"/>
                <w:sz w:val="26"/>
                <w:szCs w:val="26"/>
                <w:rtl/>
              </w:rPr>
              <w:t>.</w:t>
            </w:r>
            <w:r w:rsidR="005F3042">
              <w:rPr>
                <w:rFonts w:ascii="Arial" w:hAnsi="Arial" w:hint="cs"/>
                <w:b/>
                <w:bCs/>
                <w:noProof w:val="0"/>
                <w:sz w:val="26"/>
                <w:szCs w:val="26"/>
                <w:rtl/>
              </w:rPr>
              <w:t xml:space="preserve"> </w:t>
            </w:r>
            <w:sdt>
              <w:sdtPr>
                <w:rPr>
                  <w:rtl/>
                </w:rPr>
                <w:alias w:val="1486"/>
                <w:tag w:val="1486"/>
                <w:id w:val="1756711873"/>
                <w:text w:multiLine="1"/>
              </w:sdtPr>
              <w:sdtEndPr/>
              <w:sdtContent>
                <w:r w:rsidR="00E221BF">
                  <w:rPr>
                    <w:rFonts w:ascii="Arial" w:hAnsi="Arial"/>
                    <w:b/>
                    <w:bCs/>
                    <w:noProof w:val="0"/>
                    <w:sz w:val="26"/>
                    <w:szCs w:val="26"/>
                    <w:rtl/>
                  </w:rPr>
                  <w:t>ד</w:t>
                </w:r>
                <w:r w:rsidR="00E221BF">
                  <w:rPr>
                    <w:rFonts w:ascii="Arial" w:hAnsi="Arial" w:hint="cs"/>
                    <w:b/>
                    <w:bCs/>
                    <w:noProof w:val="0"/>
                    <w:sz w:val="26"/>
                    <w:szCs w:val="26"/>
                    <w:rtl/>
                  </w:rPr>
                  <w:t>.א.</w:t>
                </w:r>
              </w:sdtContent>
            </w:sdt>
            <w:r w:rsidR="005F3042">
              <w:rPr>
                <w:rFonts w:hint="cs"/>
                <w:rtl/>
              </w:rPr>
              <w:t xml:space="preserve"> </w:t>
            </w:r>
            <w:sdt>
              <w:sdtPr>
                <w:rPr>
                  <w:rFonts w:ascii="Arial" w:hAnsi="Arial" w:hint="cs"/>
                  <w:b/>
                  <w:bCs/>
                  <w:noProof w:val="0"/>
                  <w:sz w:val="26"/>
                  <w:szCs w:val="26"/>
                  <w:rtl/>
                </w:rPr>
                <w:alias w:val="2317"/>
                <w:tag w:val="2317"/>
                <w:id w:val="-2015752447"/>
                <w:placeholder>
                  <w:docPart w:val="DF132CEC568243A3A96CB0E9394D500E"/>
                </w:placeholder>
                <w:text w:multiLine="1"/>
              </w:sdtPr>
              <w:sdtEndPr/>
              <w:sdtContent>
                <w:r w:rsidR="005F3042">
                  <w:rPr>
                    <w:rFonts w:ascii="Arial" w:hAnsi="Arial" w:hint="eastAsia"/>
                    <w:b/>
                    <w:bCs/>
                    <w:noProof w:val="0"/>
                    <w:sz w:val="26"/>
                    <w:szCs w:val="26"/>
                    <w:rtl/>
                  </w:rPr>
                  <w:t>ת"ז</w:t>
                </w:r>
              </w:sdtContent>
            </w:sdt>
            <w:r w:rsidR="005F3042" w:rsidRPr="00E54CD9">
              <w:rPr>
                <w:rFonts w:ascii="Arial" w:hAnsi="Arial" w:hint="cs"/>
                <w:b/>
                <w:bCs/>
                <w:noProof w:val="0"/>
                <w:sz w:val="26"/>
                <w:szCs w:val="26"/>
                <w:rtl/>
              </w:rPr>
              <w:t xml:space="preserve"> </w:t>
            </w:r>
            <w:r w:rsidR="00E221BF">
              <w:rPr>
                <w:rFonts w:ascii="Arial" w:hAnsi="Arial" w:hint="cs"/>
                <w:b/>
                <w:bCs/>
                <w:noProof w:val="0"/>
                <w:sz w:val="26"/>
                <w:szCs w:val="26"/>
              </w:rPr>
              <w:t>XXX</w:t>
            </w:r>
          </w:p>
          <w:p w:rsidR="005F3042" w:rsidRPr="00E54CD9" w:rsidRDefault="00F7652F" w:rsidP="00E221BF">
            <w:pPr>
              <w:suppressLineNumbers/>
              <w:rPr>
                <w:rFonts w:ascii="Arial" w:hAnsi="Arial"/>
                <w:b/>
                <w:bCs/>
                <w:noProof w:val="0"/>
                <w:sz w:val="26"/>
                <w:szCs w:val="26"/>
                <w:rtl/>
              </w:rPr>
            </w:pPr>
            <w:sdt>
              <w:sdtPr>
                <w:rPr>
                  <w:rtl/>
                </w:rPr>
                <w:alias w:val="1571"/>
                <w:tag w:val="1571"/>
                <w:id w:val="928933005"/>
                <w:text w:multiLine="1"/>
              </w:sdtPr>
              <w:sdtEndPr/>
              <w:sdtContent>
                <w:r w:rsidR="005F3042">
                  <w:rPr>
                    <w:rFonts w:ascii="Arial" w:hAnsi="Arial"/>
                    <w:b/>
                    <w:bCs/>
                    <w:noProof w:val="0"/>
                    <w:sz w:val="26"/>
                    <w:szCs w:val="26"/>
                    <w:rtl/>
                  </w:rPr>
                  <w:t>4</w:t>
                </w:r>
              </w:sdtContent>
            </w:sdt>
            <w:r w:rsidR="005F3042">
              <w:rPr>
                <w:rFonts w:ascii="Arial" w:hAnsi="Arial"/>
                <w:b/>
                <w:bCs/>
                <w:noProof w:val="0"/>
                <w:sz w:val="26"/>
                <w:szCs w:val="26"/>
                <w:rtl/>
              </w:rPr>
              <w:t>.</w:t>
            </w:r>
            <w:r w:rsidR="005F3042">
              <w:rPr>
                <w:rFonts w:ascii="Arial" w:hAnsi="Arial" w:hint="cs"/>
                <w:b/>
                <w:bCs/>
                <w:noProof w:val="0"/>
                <w:sz w:val="26"/>
                <w:szCs w:val="26"/>
                <w:rtl/>
              </w:rPr>
              <w:t xml:space="preserve"> </w:t>
            </w:r>
            <w:sdt>
              <w:sdtPr>
                <w:rPr>
                  <w:rtl/>
                </w:rPr>
                <w:alias w:val="1486"/>
                <w:tag w:val="1486"/>
                <w:id w:val="856619584"/>
                <w:text w:multiLine="1"/>
              </w:sdtPr>
              <w:sdtEndPr/>
              <w:sdtContent>
                <w:r w:rsidR="00E221BF">
                  <w:rPr>
                    <w:rFonts w:ascii="Arial" w:hAnsi="Arial"/>
                    <w:b/>
                    <w:bCs/>
                    <w:noProof w:val="0"/>
                    <w:sz w:val="26"/>
                    <w:szCs w:val="26"/>
                    <w:rtl/>
                  </w:rPr>
                  <w:t>א</w:t>
                </w:r>
                <w:r w:rsidR="00E221BF">
                  <w:rPr>
                    <w:rFonts w:ascii="Arial" w:hAnsi="Arial" w:hint="cs"/>
                    <w:b/>
                    <w:bCs/>
                    <w:noProof w:val="0"/>
                    <w:sz w:val="26"/>
                    <w:szCs w:val="26"/>
                    <w:rtl/>
                  </w:rPr>
                  <w:t>.א.</w:t>
                </w:r>
              </w:sdtContent>
            </w:sdt>
            <w:r w:rsidR="005F3042">
              <w:rPr>
                <w:rFonts w:hint="cs"/>
                <w:rtl/>
              </w:rPr>
              <w:t xml:space="preserve"> </w:t>
            </w:r>
            <w:sdt>
              <w:sdtPr>
                <w:rPr>
                  <w:rFonts w:ascii="Arial" w:hAnsi="Arial" w:hint="cs"/>
                  <w:b/>
                  <w:bCs/>
                  <w:noProof w:val="0"/>
                  <w:sz w:val="26"/>
                  <w:szCs w:val="26"/>
                  <w:rtl/>
                </w:rPr>
                <w:alias w:val="2317"/>
                <w:tag w:val="2317"/>
                <w:id w:val="-742021896"/>
                <w:placeholder>
                  <w:docPart w:val="DF132CEC568243A3A96CB0E9394D500E"/>
                </w:placeholder>
                <w:text w:multiLine="1"/>
              </w:sdtPr>
              <w:sdtEndPr/>
              <w:sdtContent>
                <w:r w:rsidR="005F3042">
                  <w:rPr>
                    <w:rFonts w:ascii="Arial" w:hAnsi="Arial" w:hint="eastAsia"/>
                    <w:b/>
                    <w:bCs/>
                    <w:noProof w:val="0"/>
                    <w:sz w:val="26"/>
                    <w:szCs w:val="26"/>
                    <w:rtl/>
                  </w:rPr>
                  <w:t>ת"ז</w:t>
                </w:r>
              </w:sdtContent>
            </w:sdt>
            <w:r w:rsidR="005F3042" w:rsidRPr="00E54CD9">
              <w:rPr>
                <w:rFonts w:ascii="Arial" w:hAnsi="Arial" w:hint="cs"/>
                <w:b/>
                <w:bCs/>
                <w:noProof w:val="0"/>
                <w:sz w:val="26"/>
                <w:szCs w:val="26"/>
                <w:rtl/>
              </w:rPr>
              <w:t xml:space="preserve"> </w:t>
            </w:r>
            <w:r w:rsidR="00E221BF">
              <w:rPr>
                <w:rFonts w:ascii="Arial" w:hAnsi="Arial" w:hint="cs"/>
                <w:b/>
                <w:bCs/>
                <w:noProof w:val="0"/>
                <w:sz w:val="26"/>
                <w:szCs w:val="26"/>
              </w:rPr>
              <w:t>XXX</w:t>
            </w:r>
          </w:p>
          <w:p w:rsidR="005F3042" w:rsidRPr="00E54CD9" w:rsidRDefault="00F7652F" w:rsidP="00E221BF">
            <w:pPr>
              <w:suppressLineNumbers/>
              <w:rPr>
                <w:rFonts w:ascii="Arial" w:hAnsi="Arial"/>
                <w:b/>
                <w:bCs/>
                <w:noProof w:val="0"/>
                <w:sz w:val="26"/>
                <w:szCs w:val="26"/>
                <w:rtl/>
              </w:rPr>
            </w:pPr>
            <w:sdt>
              <w:sdtPr>
                <w:rPr>
                  <w:rtl/>
                </w:rPr>
                <w:alias w:val="1571"/>
                <w:tag w:val="1571"/>
                <w:id w:val="-1403897529"/>
                <w:text w:multiLine="1"/>
              </w:sdtPr>
              <w:sdtEndPr/>
              <w:sdtContent>
                <w:r w:rsidR="005F3042">
                  <w:rPr>
                    <w:rFonts w:ascii="Arial" w:hAnsi="Arial"/>
                    <w:b/>
                    <w:bCs/>
                    <w:noProof w:val="0"/>
                    <w:sz w:val="26"/>
                    <w:szCs w:val="26"/>
                    <w:rtl/>
                  </w:rPr>
                  <w:t>5</w:t>
                </w:r>
              </w:sdtContent>
            </w:sdt>
            <w:r w:rsidR="005F3042">
              <w:rPr>
                <w:rFonts w:ascii="Arial" w:hAnsi="Arial"/>
                <w:b/>
                <w:bCs/>
                <w:noProof w:val="0"/>
                <w:sz w:val="26"/>
                <w:szCs w:val="26"/>
                <w:rtl/>
              </w:rPr>
              <w:t>.</w:t>
            </w:r>
            <w:r w:rsidR="005F3042">
              <w:rPr>
                <w:rFonts w:ascii="Arial" w:hAnsi="Arial" w:hint="cs"/>
                <w:b/>
                <w:bCs/>
                <w:noProof w:val="0"/>
                <w:sz w:val="26"/>
                <w:szCs w:val="26"/>
                <w:rtl/>
              </w:rPr>
              <w:t xml:space="preserve"> </w:t>
            </w:r>
            <w:sdt>
              <w:sdtPr>
                <w:rPr>
                  <w:rtl/>
                </w:rPr>
                <w:alias w:val="1486"/>
                <w:tag w:val="1486"/>
                <w:id w:val="615487675"/>
                <w:text w:multiLine="1"/>
              </w:sdtPr>
              <w:sdtEndPr/>
              <w:sdtContent>
                <w:r w:rsidR="00E221BF">
                  <w:rPr>
                    <w:rFonts w:ascii="Arial" w:hAnsi="Arial"/>
                    <w:b/>
                    <w:bCs/>
                    <w:noProof w:val="0"/>
                    <w:sz w:val="26"/>
                    <w:szCs w:val="26"/>
                    <w:rtl/>
                  </w:rPr>
                  <w:t>ש</w:t>
                </w:r>
                <w:r w:rsidR="00E221BF">
                  <w:rPr>
                    <w:rFonts w:ascii="Arial" w:hAnsi="Arial" w:hint="cs"/>
                    <w:b/>
                    <w:bCs/>
                    <w:noProof w:val="0"/>
                    <w:sz w:val="26"/>
                    <w:szCs w:val="26"/>
                    <w:rtl/>
                  </w:rPr>
                  <w:t>.א.</w:t>
                </w:r>
              </w:sdtContent>
            </w:sdt>
            <w:r w:rsidR="005F3042">
              <w:rPr>
                <w:rFonts w:hint="cs"/>
                <w:rtl/>
              </w:rPr>
              <w:t xml:space="preserve"> </w:t>
            </w:r>
            <w:sdt>
              <w:sdtPr>
                <w:rPr>
                  <w:rFonts w:ascii="Arial" w:hAnsi="Arial" w:hint="cs"/>
                  <w:b/>
                  <w:bCs/>
                  <w:noProof w:val="0"/>
                  <w:sz w:val="26"/>
                  <w:szCs w:val="26"/>
                  <w:rtl/>
                </w:rPr>
                <w:alias w:val="2317"/>
                <w:tag w:val="2317"/>
                <w:id w:val="-1722584517"/>
                <w:placeholder>
                  <w:docPart w:val="DF132CEC568243A3A96CB0E9394D500E"/>
                </w:placeholder>
                <w:text w:multiLine="1"/>
              </w:sdtPr>
              <w:sdtEndPr/>
              <w:sdtContent>
                <w:r w:rsidR="005F3042">
                  <w:rPr>
                    <w:rFonts w:ascii="Arial" w:hAnsi="Arial" w:hint="eastAsia"/>
                    <w:b/>
                    <w:bCs/>
                    <w:noProof w:val="0"/>
                    <w:sz w:val="26"/>
                    <w:szCs w:val="26"/>
                    <w:rtl/>
                  </w:rPr>
                  <w:t>ת"ז</w:t>
                </w:r>
              </w:sdtContent>
            </w:sdt>
            <w:r w:rsidR="005F3042" w:rsidRPr="00E54CD9">
              <w:rPr>
                <w:rFonts w:ascii="Arial" w:hAnsi="Arial" w:hint="cs"/>
                <w:b/>
                <w:bCs/>
                <w:noProof w:val="0"/>
                <w:sz w:val="26"/>
                <w:szCs w:val="26"/>
                <w:rtl/>
              </w:rPr>
              <w:t xml:space="preserve"> </w:t>
            </w:r>
            <w:r w:rsidR="00E221BF">
              <w:rPr>
                <w:rFonts w:ascii="Arial" w:hAnsi="Arial" w:hint="cs"/>
                <w:b/>
                <w:bCs/>
                <w:noProof w:val="0"/>
                <w:sz w:val="26"/>
                <w:szCs w:val="26"/>
              </w:rPr>
              <w:t>XXX</w:t>
            </w:r>
          </w:p>
          <w:p w:rsidR="005F3042" w:rsidRPr="00E54CD9" w:rsidRDefault="00F7652F" w:rsidP="001259A6">
            <w:pPr>
              <w:suppressLineNumbers/>
              <w:rPr>
                <w:rFonts w:ascii="Arial" w:hAnsi="Arial"/>
                <w:b/>
                <w:bCs/>
                <w:noProof w:val="0"/>
                <w:sz w:val="26"/>
                <w:szCs w:val="26"/>
                <w:rtl/>
              </w:rPr>
            </w:pPr>
            <w:sdt>
              <w:sdtPr>
                <w:rPr>
                  <w:rtl/>
                </w:rPr>
                <w:alias w:val="1571"/>
                <w:tag w:val="1571"/>
                <w:id w:val="-904292561"/>
                <w:text w:multiLine="1"/>
              </w:sdtPr>
              <w:sdtEndPr/>
              <w:sdtContent>
                <w:r w:rsidR="005F3042">
                  <w:rPr>
                    <w:rFonts w:ascii="Arial" w:hAnsi="Arial"/>
                    <w:b/>
                    <w:bCs/>
                    <w:noProof w:val="0"/>
                    <w:sz w:val="26"/>
                    <w:szCs w:val="26"/>
                    <w:rtl/>
                  </w:rPr>
                  <w:t>6</w:t>
                </w:r>
              </w:sdtContent>
            </w:sdt>
            <w:r w:rsidR="005F3042">
              <w:rPr>
                <w:rFonts w:ascii="Arial" w:hAnsi="Arial"/>
                <w:b/>
                <w:bCs/>
                <w:noProof w:val="0"/>
                <w:sz w:val="26"/>
                <w:szCs w:val="26"/>
                <w:rtl/>
              </w:rPr>
              <w:t>.</w:t>
            </w:r>
            <w:r w:rsidR="005F3042">
              <w:rPr>
                <w:rFonts w:ascii="Arial" w:hAnsi="Arial" w:hint="cs"/>
                <w:b/>
                <w:bCs/>
                <w:noProof w:val="0"/>
                <w:sz w:val="26"/>
                <w:szCs w:val="26"/>
                <w:rtl/>
              </w:rPr>
              <w:t xml:space="preserve"> </w:t>
            </w:r>
            <w:sdt>
              <w:sdtPr>
                <w:rPr>
                  <w:rtl/>
                </w:rPr>
                <w:alias w:val="1486"/>
                <w:tag w:val="1486"/>
                <w:id w:val="2014485387"/>
                <w:text w:multiLine="1"/>
              </w:sdtPr>
              <w:sdtEndPr/>
              <w:sdtContent>
                <w:r w:rsidR="00E221BF">
                  <w:rPr>
                    <w:rFonts w:ascii="Arial" w:hAnsi="Arial"/>
                    <w:b/>
                    <w:bCs/>
                    <w:noProof w:val="0"/>
                    <w:sz w:val="26"/>
                    <w:szCs w:val="26"/>
                    <w:rtl/>
                  </w:rPr>
                  <w:t>ס</w:t>
                </w:r>
                <w:r w:rsidR="00E221BF">
                  <w:rPr>
                    <w:rFonts w:ascii="Arial" w:hAnsi="Arial" w:hint="cs"/>
                    <w:b/>
                    <w:bCs/>
                    <w:noProof w:val="0"/>
                    <w:sz w:val="26"/>
                    <w:szCs w:val="26"/>
                    <w:rtl/>
                  </w:rPr>
                  <w:t>.א.</w:t>
                </w:r>
              </w:sdtContent>
            </w:sdt>
            <w:r w:rsidR="005F3042">
              <w:rPr>
                <w:rFonts w:hint="cs"/>
                <w:rtl/>
              </w:rPr>
              <w:t xml:space="preserve"> </w:t>
            </w:r>
          </w:p>
        </w:tc>
      </w:tr>
      <w:tr w:rsidR="005F3042" w:rsidTr="001259A6">
        <w:trPr>
          <w:jc w:val="center"/>
        </w:trPr>
        <w:tc>
          <w:tcPr>
            <w:tcW w:w="8820" w:type="dxa"/>
            <w:gridSpan w:val="3"/>
          </w:tcPr>
          <w:p w:rsidR="005F3042" w:rsidRPr="00996935" w:rsidRDefault="005F3042" w:rsidP="001259A6">
            <w:pPr>
              <w:suppressLineNumbers/>
            </w:pPr>
          </w:p>
          <w:p w:rsidR="005F3042" w:rsidRPr="00781CEF" w:rsidRDefault="005F3042" w:rsidP="001259A6">
            <w:pPr>
              <w:suppressLineNumbers/>
              <w:rPr>
                <w:b/>
                <w:bCs/>
                <w:rtl/>
              </w:rPr>
            </w:pPr>
          </w:p>
          <w:p w:rsidR="005F3042" w:rsidRPr="00781CEF" w:rsidRDefault="005F3042" w:rsidP="001259A6">
            <w:pPr>
              <w:suppressLineNumbers/>
              <w:rPr>
                <w:b/>
                <w:bCs/>
                <w:rtl/>
              </w:rPr>
            </w:pPr>
            <w:r w:rsidRPr="00781CEF">
              <w:rPr>
                <w:rFonts w:hint="cs"/>
                <w:b/>
                <w:bCs/>
                <w:rtl/>
              </w:rPr>
              <w:t xml:space="preserve">המשיבים:                                      </w:t>
            </w:r>
            <w:r>
              <w:rPr>
                <w:rFonts w:hint="cs"/>
                <w:b/>
                <w:bCs/>
                <w:rtl/>
              </w:rPr>
              <w:t xml:space="preserve">     1</w:t>
            </w:r>
            <w:r w:rsidRPr="00781CEF">
              <w:rPr>
                <w:rFonts w:hint="cs"/>
                <w:b/>
                <w:bCs/>
                <w:rtl/>
              </w:rPr>
              <w:t xml:space="preserve">. כונס הנכסים </w:t>
            </w:r>
            <w:r w:rsidRPr="00781CEF">
              <w:rPr>
                <w:b/>
                <w:bCs/>
                <w:rtl/>
              </w:rPr>
              <w:t>–</w:t>
            </w:r>
            <w:r w:rsidRPr="00781CEF">
              <w:rPr>
                <w:rFonts w:hint="cs"/>
                <w:b/>
                <w:bCs/>
                <w:rtl/>
              </w:rPr>
              <w:t xml:space="preserve"> עו"ד יואל יוספי</w:t>
            </w:r>
          </w:p>
          <w:p w:rsidR="005F3042" w:rsidRPr="00781CEF" w:rsidRDefault="005F3042" w:rsidP="001259A6">
            <w:pPr>
              <w:suppressLineNumbers/>
              <w:rPr>
                <w:b/>
                <w:bCs/>
                <w:rtl/>
              </w:rPr>
            </w:pPr>
            <w:r w:rsidRPr="00781CEF">
              <w:rPr>
                <w:rFonts w:hint="cs"/>
                <w:b/>
                <w:bCs/>
                <w:rtl/>
              </w:rPr>
              <w:t xml:space="preserve">                                                      </w:t>
            </w:r>
            <w:r w:rsidR="00E221BF">
              <w:rPr>
                <w:rFonts w:hint="cs"/>
                <w:b/>
                <w:bCs/>
                <w:rtl/>
              </w:rPr>
              <w:t xml:space="preserve">       2. חברת </w:t>
            </w:r>
            <w:r w:rsidR="00E221BF">
              <w:rPr>
                <w:rFonts w:hint="cs"/>
                <w:b/>
                <w:bCs/>
              </w:rPr>
              <w:t>XXX</w:t>
            </w:r>
            <w:r w:rsidRPr="00781CEF">
              <w:rPr>
                <w:rFonts w:hint="cs"/>
                <w:b/>
                <w:bCs/>
                <w:rtl/>
              </w:rPr>
              <w:t xml:space="preserve"> בע"מ.</w:t>
            </w:r>
          </w:p>
          <w:p w:rsidR="005F3042" w:rsidRPr="00781CEF" w:rsidRDefault="005F3042" w:rsidP="001259A6">
            <w:pPr>
              <w:suppressLineNumbers/>
              <w:rPr>
                <w:b/>
                <w:bCs/>
                <w:rtl/>
              </w:rPr>
            </w:pPr>
            <w:r w:rsidRPr="00781CEF">
              <w:rPr>
                <w:rFonts w:hint="cs"/>
                <w:b/>
                <w:bCs/>
                <w:rtl/>
              </w:rPr>
              <w:t xml:space="preserve">                                             </w:t>
            </w:r>
            <w:r w:rsidR="00E221BF">
              <w:rPr>
                <w:rFonts w:hint="cs"/>
                <w:b/>
                <w:bCs/>
                <w:rtl/>
              </w:rPr>
              <w:t xml:space="preserve">                3. מ.א.</w:t>
            </w:r>
            <w:r w:rsidRPr="00781CEF">
              <w:rPr>
                <w:rFonts w:hint="cs"/>
                <w:b/>
                <w:bCs/>
                <w:rtl/>
              </w:rPr>
              <w:t xml:space="preserve">   </w:t>
            </w:r>
          </w:p>
          <w:p w:rsidR="005F3042" w:rsidRPr="00996935" w:rsidRDefault="005F3042" w:rsidP="001259A6">
            <w:pPr>
              <w:suppressLineNumbers/>
              <w:rPr>
                <w:rtl/>
              </w:rPr>
            </w:pPr>
          </w:p>
        </w:tc>
      </w:tr>
      <w:tr w:rsidR="005F3042" w:rsidTr="001259A6">
        <w:trPr>
          <w:jc w:val="center"/>
        </w:trPr>
        <w:tc>
          <w:tcPr>
            <w:tcW w:w="3249" w:type="dxa"/>
            <w:gridSpan w:val="2"/>
          </w:tcPr>
          <w:p w:rsidR="005F3042" w:rsidRDefault="005F3042" w:rsidP="001259A6">
            <w:pPr>
              <w:rPr>
                <w:rFonts w:ascii="David" w:eastAsia="David" w:hAnsi="David"/>
                <w:noProof w:val="0"/>
              </w:rPr>
            </w:pPr>
          </w:p>
        </w:tc>
        <w:tc>
          <w:tcPr>
            <w:tcW w:w="5571" w:type="dxa"/>
          </w:tcPr>
          <w:p w:rsidR="005F3042" w:rsidRDefault="005F3042" w:rsidP="001259A6">
            <w:pPr>
              <w:rPr>
                <w:b/>
                <w:bCs/>
                <w:sz w:val="26"/>
                <w:szCs w:val="26"/>
              </w:rPr>
            </w:pPr>
          </w:p>
        </w:tc>
      </w:tr>
      <w:tr w:rsidR="005F3042" w:rsidRPr="00DE1E7D" w:rsidTr="001259A6">
        <w:trPr>
          <w:jc w:val="center"/>
        </w:trPr>
        <w:tc>
          <w:tcPr>
            <w:tcW w:w="8820" w:type="dxa"/>
            <w:gridSpan w:val="3"/>
          </w:tcPr>
          <w:p w:rsidR="005F3042" w:rsidRDefault="005F3042" w:rsidP="001259A6">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5F3042" w:rsidRPr="00D44968" w:rsidRDefault="005F3042" w:rsidP="001259A6">
            <w:pPr>
              <w:bidi w:val="0"/>
              <w:jc w:val="center"/>
              <w:rPr>
                <w:rFonts w:ascii="Arial" w:hAnsi="Arial"/>
                <w:b/>
                <w:bCs/>
                <w:noProof w:val="0"/>
                <w:sz w:val="28"/>
                <w:szCs w:val="28"/>
                <w:u w:val="single"/>
              </w:rPr>
            </w:pPr>
          </w:p>
        </w:tc>
      </w:tr>
    </w:tbl>
    <w:p w:rsidR="005F3042" w:rsidRDefault="005F3042" w:rsidP="005F3042">
      <w:pPr>
        <w:spacing w:line="360" w:lineRule="auto"/>
        <w:jc w:val="both"/>
        <w:rPr>
          <w:rFonts w:ascii="David" w:hAnsi="David"/>
          <w:noProof w:val="0"/>
        </w:rPr>
      </w:pPr>
      <w:bookmarkStart w:id="0" w:name="NGCSBookmark"/>
      <w:bookmarkEnd w:id="0"/>
    </w:p>
    <w:p w:rsidR="005F3042" w:rsidRDefault="005F3042" w:rsidP="005F3042">
      <w:pPr>
        <w:pStyle w:val="ac"/>
        <w:spacing w:line="360" w:lineRule="auto"/>
        <w:jc w:val="both"/>
        <w:rPr>
          <w:rFonts w:ascii="David" w:hAnsi="David"/>
          <w:rtl/>
        </w:rPr>
      </w:pPr>
      <w:r>
        <w:rPr>
          <w:rFonts w:ascii="David" w:hAnsi="David"/>
          <w:rtl/>
        </w:rPr>
        <w:t xml:space="preserve">בקשה בעלי דין בהליך כינוס נכסים של נכס מסחרי לקיום התמחרות חדשה בין מציעה חדשה ובין זוכה שהוכרזה בהתמחרות קודמת, בטרם נכרת עמה הסכם ובטרם אישר בית המשפט את זכייתו. </w:t>
      </w:r>
    </w:p>
    <w:p w:rsidR="005F3042" w:rsidRDefault="005F3042" w:rsidP="005F3042">
      <w:pPr>
        <w:pStyle w:val="ac"/>
        <w:spacing w:line="360" w:lineRule="auto"/>
        <w:jc w:val="both"/>
        <w:rPr>
          <w:rFonts w:ascii="David" w:hAnsi="David"/>
          <w:rtl/>
        </w:rPr>
      </w:pPr>
    </w:p>
    <w:p w:rsidR="005F3042" w:rsidRDefault="005F3042" w:rsidP="00E16B7B">
      <w:pPr>
        <w:pStyle w:val="ac"/>
        <w:numPr>
          <w:ilvl w:val="0"/>
          <w:numId w:val="6"/>
        </w:numPr>
        <w:spacing w:after="160" w:line="360" w:lineRule="auto"/>
        <w:jc w:val="both"/>
        <w:rPr>
          <w:rFonts w:ascii="David" w:hAnsi="David"/>
        </w:rPr>
      </w:pPr>
      <w:r>
        <w:rPr>
          <w:rFonts w:ascii="David" w:hAnsi="David"/>
          <w:rtl/>
        </w:rPr>
        <w:t>בהליך שלפני ניתן ביום 1.10.23 פסק דין שבמסגרתו בין היתר הוריתי על מימוש זכויות התובע בנכס שלפני</w:t>
      </w:r>
      <w:r w:rsidR="00E16B7B">
        <w:rPr>
          <w:rFonts w:ascii="David" w:hAnsi="David"/>
          <w:rtl/>
        </w:rPr>
        <w:t xml:space="preserve">, נכס מקרקעין מסחרי ברחוב </w:t>
      </w:r>
      <w:r w:rsidR="00E16B7B">
        <w:rPr>
          <w:rFonts w:ascii="David" w:hAnsi="David" w:hint="cs"/>
        </w:rPr>
        <w:t>XXX</w:t>
      </w:r>
      <w:r w:rsidR="00E16B7B">
        <w:rPr>
          <w:rFonts w:ascii="David" w:hAnsi="David" w:hint="cs"/>
          <w:rtl/>
        </w:rPr>
        <w:t xml:space="preserve"> ב </w:t>
      </w:r>
      <w:r w:rsidR="00E16B7B">
        <w:rPr>
          <w:rFonts w:ascii="David" w:hAnsi="David" w:hint="cs"/>
        </w:rPr>
        <w:t>XXX</w:t>
      </w:r>
      <w:r>
        <w:rPr>
          <w:rFonts w:ascii="David" w:hAnsi="David"/>
          <w:rtl/>
        </w:rPr>
        <w:t xml:space="preserve"> וידוע כחלק מחלקות </w:t>
      </w:r>
      <w:r w:rsidR="00E16B7B">
        <w:rPr>
          <w:rFonts w:ascii="David" w:hAnsi="David"/>
        </w:rPr>
        <w:t xml:space="preserve"> </w:t>
      </w:r>
      <w:r w:rsidR="00E16B7B">
        <w:rPr>
          <w:rFonts w:ascii="David" w:hAnsi="David" w:hint="cs"/>
        </w:rPr>
        <w:t xml:space="preserve">X </w:t>
      </w:r>
      <w:r>
        <w:rPr>
          <w:rFonts w:ascii="David" w:hAnsi="David"/>
          <w:rtl/>
        </w:rPr>
        <w:t>ו-</w:t>
      </w:r>
      <w:r w:rsidR="00E16B7B">
        <w:rPr>
          <w:rFonts w:ascii="David" w:hAnsi="David" w:hint="cs"/>
        </w:rPr>
        <w:t>X</w:t>
      </w:r>
      <w:r w:rsidR="00E16B7B">
        <w:rPr>
          <w:rFonts w:ascii="David" w:hAnsi="David"/>
          <w:rtl/>
        </w:rPr>
        <w:t xml:space="preserve"> בגוש </w:t>
      </w:r>
      <w:r w:rsidR="00E16B7B">
        <w:rPr>
          <w:rFonts w:ascii="David" w:hAnsi="David" w:hint="cs"/>
        </w:rPr>
        <w:t>XXX</w:t>
      </w:r>
      <w:r>
        <w:rPr>
          <w:rFonts w:ascii="David" w:hAnsi="David"/>
          <w:rtl/>
        </w:rPr>
        <w:t xml:space="preserve"> בדרך של מכירה לכל המרבה במחיר ומיניתי את עו"ד יואל יוספי ככונס נכסים לשם כך (להלן: "</w:t>
      </w:r>
      <w:r>
        <w:rPr>
          <w:rFonts w:ascii="David" w:hAnsi="David"/>
          <w:b/>
          <w:bCs/>
          <w:rtl/>
        </w:rPr>
        <w:t>פסק הדין</w:t>
      </w:r>
      <w:r>
        <w:rPr>
          <w:rFonts w:ascii="David" w:hAnsi="David"/>
          <w:rtl/>
        </w:rPr>
        <w:t>" ו"</w:t>
      </w:r>
      <w:r>
        <w:rPr>
          <w:rFonts w:ascii="David" w:hAnsi="David"/>
          <w:b/>
          <w:bCs/>
          <w:rtl/>
        </w:rPr>
        <w:t>הנכס</w:t>
      </w:r>
      <w:r>
        <w:rPr>
          <w:rFonts w:ascii="David" w:hAnsi="David"/>
          <w:rtl/>
        </w:rPr>
        <w:t xml:space="preserve">", לפי העניין).  </w:t>
      </w:r>
    </w:p>
    <w:p w:rsidR="005F3042" w:rsidRDefault="005F3042" w:rsidP="005F3042">
      <w:pPr>
        <w:pStyle w:val="ac"/>
        <w:spacing w:line="360" w:lineRule="auto"/>
        <w:jc w:val="both"/>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ביום 10.3.24 קיים כונס הנכסים התמחרות בין שבעה מציעים , שבסופה הוכרזו משיבה 2, באמצעות בעל מניותיה משיב 3, כזוכה בהתמחרות בגין הזכויות בנכס, משהציעה סך של 5,150,000 ₪ ומע"מ בגינו (להלן: "</w:t>
      </w:r>
      <w:r>
        <w:rPr>
          <w:rFonts w:ascii="David" w:hAnsi="David"/>
          <w:b/>
          <w:bCs/>
          <w:rtl/>
        </w:rPr>
        <w:t>הזוכה</w:t>
      </w:r>
      <w:r>
        <w:rPr>
          <w:rFonts w:ascii="David" w:hAnsi="David"/>
          <w:rtl/>
        </w:rPr>
        <w:t xml:space="preserve">").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lastRenderedPageBreak/>
        <w:t>ביום 17.3.24 הוגשה בקשתם המשותפת של בעלי הדין בהליך העיקרי שלפני (התובע והנתבעים) להורות לכונס הנכסים לבצע התמחרות נוספת הואיל והתקבלה אצלם הצעה מטעם מציעה חדשה בגין הנכס בסכום של 6,000,000 ₪ ומע"מ, קרי בסכום העולה באופן משמעותי על הצעת הזוכה (להלן: "</w:t>
      </w:r>
      <w:r>
        <w:rPr>
          <w:rFonts w:ascii="David" w:hAnsi="David"/>
          <w:b/>
          <w:bCs/>
          <w:rtl/>
        </w:rPr>
        <w:t>הבקשה</w:t>
      </w:r>
      <w:r>
        <w:rPr>
          <w:rFonts w:ascii="David" w:hAnsi="David"/>
          <w:rtl/>
        </w:rPr>
        <w:t>" ו"</w:t>
      </w:r>
      <w:r>
        <w:rPr>
          <w:rFonts w:ascii="David" w:hAnsi="David"/>
          <w:b/>
          <w:bCs/>
          <w:rtl/>
        </w:rPr>
        <w:t>המבקשים</w:t>
      </w:r>
      <w:r>
        <w:rPr>
          <w:rFonts w:ascii="David" w:hAnsi="David"/>
          <w:rtl/>
        </w:rPr>
        <w:t>"). זאת, שעה שטרם נכרת הסכם המכר בפועל ואף טרם הוגשה בקשה לבית המשפט לאשר את המכר עצמו. לדבריהם, מצב המלחמה מנע מהמציעה החדשה להשתתף בפועל בהתמחרות.</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כונס הנכסים הציג בין היתר לפני בית המשפט את פרוטוקול ההתמחרות, כמו גם את השיקולים השונים העומדים מנגד, דוגמת האינטרס בהשאת התמורה אל מול הסתמכותה של הזוכה בהתמחרות וחשיפות פוטנציאליות של הצדדים ככל שתקוים התמחרות חדשה ללא הכרעה שיפוטית, ולפיכך בתגובותיו ביקש שהסוגיה תוכרע על ידי בית המשפט.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התבקשה גם עמדת הזוכה, אשר מתנגדת לבקשה. בתגובתה מיום 21.4.24, מבהירה כי יש לכבד את הליך ההתמחרות, שבוצע באופן תקין ובהתאם להוראות הדין, במסגרתו אף ניתנה לשניים מבעלי הדין שלפני הזדמנות להשתתף. הזוכה מבקשת לדחות את טיעוני המבקשים בדבר השפעת מצב המלחמה על ההצעות, ובתגובתה אף הביעה ספק ביחס לאופי ההצעה החדשה וזהות המציע האחר. לדבריה, קבלת הבקשה תשקף פגיעה אנושה בזוכה, בדרך שתכשיר בפועל התנהלות קלוקלת.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ביום 6.5.24 הציגו המבקשים עצמם העתק של שיק בנקאי על סך 351,000 ₪ שרכשה המציעה החדשה להבטחת רצינות הצעתה ואשר הוצג לפניהם.</w:t>
      </w:r>
    </w:p>
    <w:p w:rsidR="005F3042" w:rsidRDefault="005F3042" w:rsidP="005F3042">
      <w:pPr>
        <w:pStyle w:val="ac"/>
        <w:rPr>
          <w:rFonts w:ascii="David" w:hAnsi="David"/>
        </w:rPr>
      </w:pPr>
    </w:p>
    <w:p w:rsidR="005F3042" w:rsidRDefault="005F3042" w:rsidP="00FB248E">
      <w:pPr>
        <w:pStyle w:val="ac"/>
        <w:numPr>
          <w:ilvl w:val="0"/>
          <w:numId w:val="6"/>
        </w:numPr>
        <w:spacing w:after="160" w:line="360" w:lineRule="auto"/>
        <w:jc w:val="both"/>
        <w:rPr>
          <w:rFonts w:ascii="David" w:hAnsi="David"/>
          <w:rtl/>
        </w:rPr>
      </w:pPr>
      <w:r>
        <w:rPr>
          <w:rFonts w:ascii="David" w:hAnsi="David"/>
          <w:rtl/>
        </w:rPr>
        <w:t xml:space="preserve">קיימתי ביום 27.5.24 דיון במעמד הצדדים והזוכה, וכן בעל המניות במציעה החדשה, מר </w:t>
      </w:r>
      <w:r w:rsidR="00FB248E">
        <w:rPr>
          <w:rFonts w:ascii="David" w:hAnsi="David" w:hint="cs"/>
          <w:rtl/>
        </w:rPr>
        <w:t>ל.ש</w:t>
      </w:r>
      <w:r>
        <w:rPr>
          <w:rFonts w:ascii="David" w:hAnsi="David"/>
          <w:rtl/>
        </w:rPr>
        <w:t xml:space="preserve"> (להלן: "</w:t>
      </w:r>
      <w:r>
        <w:rPr>
          <w:rFonts w:ascii="David" w:hAnsi="David"/>
          <w:b/>
          <w:bCs/>
          <w:rtl/>
        </w:rPr>
        <w:t>המציעה החדשה</w:t>
      </w:r>
      <w:r>
        <w:rPr>
          <w:rFonts w:ascii="David" w:hAnsi="David"/>
          <w:rtl/>
        </w:rPr>
        <w:t>" ו"</w:t>
      </w:r>
      <w:r>
        <w:rPr>
          <w:rFonts w:ascii="David" w:hAnsi="David"/>
          <w:b/>
          <w:bCs/>
          <w:rtl/>
        </w:rPr>
        <w:t>הנציג</w:t>
      </w:r>
      <w:r>
        <w:rPr>
          <w:rFonts w:ascii="David" w:hAnsi="David"/>
          <w:rtl/>
        </w:rPr>
        <w:t>") שמצא להתייצב לדיון.</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במעמד הדיון חזרו בעיקרם הצדדים על טענותיהם. </w:t>
      </w:r>
    </w:p>
    <w:p w:rsidR="005F3042" w:rsidRDefault="005F3042" w:rsidP="005F3042">
      <w:pPr>
        <w:pStyle w:val="ac"/>
        <w:spacing w:line="360" w:lineRule="auto"/>
        <w:jc w:val="both"/>
        <w:rPr>
          <w:rFonts w:ascii="David" w:hAnsi="David"/>
          <w:rtl/>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גם בע</w:t>
      </w:r>
      <w:r w:rsidR="00926C9C">
        <w:rPr>
          <w:rFonts w:ascii="David" w:hAnsi="David"/>
          <w:rtl/>
        </w:rPr>
        <w:t>ל המניות בזוכה, מר א</w:t>
      </w:r>
      <w:r w:rsidR="00926C9C">
        <w:rPr>
          <w:rFonts w:ascii="David" w:hAnsi="David" w:hint="cs"/>
          <w:rtl/>
        </w:rPr>
        <w:t>.מ.</w:t>
      </w:r>
      <w:r>
        <w:rPr>
          <w:rFonts w:ascii="David" w:hAnsi="David"/>
          <w:rtl/>
        </w:rPr>
        <w:t>, טען לפני וציין כי הוא לדבריו בעל זכויות במגרש הגובל בנכס נושא ההליך, אשר פולש לדבריו לשטחו. בנסיבות בהן פורסמה ההזמנה להציע הצעות בקשר עם הנכס, סבר שנכון יותר להציע את ההצעה ולרכוש את הנכס, תחת התנהלות משפטית לנוכח החריגות הנטענות, ולשם כך אף ביקש לממש נכס אחר וביקש ליווי בנקאי לשם הגשת ההצעה.</w:t>
      </w:r>
    </w:p>
    <w:p w:rsidR="005F3042" w:rsidRDefault="005F3042" w:rsidP="005F3042">
      <w:pPr>
        <w:pStyle w:val="ac"/>
        <w:spacing w:line="360" w:lineRule="auto"/>
        <w:jc w:val="both"/>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lastRenderedPageBreak/>
        <w:t>כונס הנכסים הבהיר כי כלל המציעים בהתמחרות שקוימה יודעו מפורשות והתבקשו גם לאשר בכתב מודעות זו באשר לבעיות התכנוניות הקשורות עם הנכס, הן בקשר למבונה שעליו והן בקשר עם הטענות לחריגה מגבולות המגרש, וכולם התבקשו להציע הצעות בקשר עם רכישת הזכויות בנכס במצבו. בין היתר הפנה כונס הנכסים לנספחים שצורפו לתגובתו מיום 22.3.24 כמו גם לפרוטוקול ישיבת ההתמחרות מיום 10.3.24 שצורפה לעמדתו מיום 18.3.24, ובה בין היתר הובהרו למציעים חריגות בניה, בעיות תכנוניות, ואי התאמה בגבולות המגרש, תוך שהובהר שתנאי ההשתתפות במכרז כוללים רכישת הזכויות בנכס במצבו והכשרת כל חריגה שהיא על חשבון המציע.</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ניתנה לנציג אף הזדמנות להציג את עמדתו בדיון. הוא הבהיר כי הוא אמנם משמש כבעל 50% ממניות המציעה החדשה, ואף הבהיר כי המציעה החדשה מבקשת לשפר את הצעתה לכדי 6,500,000 ₪, תוך שהוא מודע לסוגיות התכנוניות הקשורות עם הנכס.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לאחר ששמעתי את הצדדים ועיינתי במכלול המצוי בתיק, הגעתי לכלל מסקנה כי דין הבקשה להתקבל.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בניגוד לעמדתה של הזוכה, הרי שקו פרשת מים של ממש – הן דה-פקטו והן דה-יורה – שממנו והלאה יקשה עד מאד לקבל הצעות חדשות בקשר עם הנכס איננו בהכרח ישיבת ההתמחרות, כי אם מעמד האישור השיפוטי המבהיר מיהו הזוכה בהליך כינוס הנכסים [השוו, למשל: בר"ע (ת"א) 2416/07 </w:t>
      </w:r>
      <w:r>
        <w:rPr>
          <w:rFonts w:ascii="David" w:hAnsi="David"/>
          <w:b/>
          <w:bCs/>
          <w:rtl/>
        </w:rPr>
        <w:t>מיס אל אפנת נשים נ' עו"ד שמעוני אילן</w:t>
      </w:r>
      <w:r>
        <w:rPr>
          <w:rFonts w:ascii="David" w:hAnsi="David"/>
          <w:rtl/>
        </w:rPr>
        <w:t xml:space="preserve"> (מצוי במאגרים המשפטיים ; 11.3.08) חדלת (י-ם) 27514-07-22 </w:t>
      </w:r>
      <w:r>
        <w:rPr>
          <w:rFonts w:ascii="David" w:hAnsi="David"/>
          <w:b/>
          <w:bCs/>
          <w:rtl/>
        </w:rPr>
        <w:t>אבוביץ נ' הממונה על הליכי חדלון פירעון ושיקום כלכלי</w:t>
      </w:r>
      <w:r>
        <w:rPr>
          <w:rFonts w:ascii="David" w:hAnsi="David"/>
          <w:rtl/>
        </w:rPr>
        <w:t xml:space="preserve"> (מצוי במאגרים המשפטיים ; 31.7.22)].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הזוכה מבקשת להסתמך על האמור בע"א 509/00 </w:t>
      </w:r>
      <w:r>
        <w:rPr>
          <w:rFonts w:ascii="David" w:hAnsi="David"/>
          <w:b/>
          <w:bCs/>
          <w:rtl/>
        </w:rPr>
        <w:t>לוי נ' ברכה</w:t>
      </w:r>
      <w:r>
        <w:rPr>
          <w:rFonts w:ascii="David" w:hAnsi="David"/>
          <w:rtl/>
        </w:rPr>
        <w:t xml:space="preserve"> פ"ד נה (4) 410 (להלן: "</w:t>
      </w:r>
      <w:r>
        <w:rPr>
          <w:rFonts w:ascii="David" w:hAnsi="David"/>
          <w:b/>
          <w:bCs/>
          <w:rtl/>
        </w:rPr>
        <w:t>פרשת לוי</w:t>
      </w:r>
      <w:r>
        <w:rPr>
          <w:rFonts w:ascii="David" w:hAnsi="David"/>
          <w:rtl/>
        </w:rPr>
        <w:t xml:space="preserve">"), כמסד להתנגדותה לבקשה. אלא שלא על האמור בפסק דין זה לבדו נשענת ההלכה הפסוקה כמו גם הפסיקה המנחה; מה גם שכפי שאבהיר להלן הנסיבות שפורטו באותו העניין שונות מהותית מענייננו. ממילא גם </w:t>
      </w:r>
      <w:r>
        <w:rPr>
          <w:rFonts w:ascii="David" w:hAnsi="David"/>
          <w:b/>
          <w:bCs/>
          <w:rtl/>
        </w:rPr>
        <w:t>בפרשת</w:t>
      </w:r>
      <w:r>
        <w:rPr>
          <w:rFonts w:ascii="David" w:hAnsi="David"/>
          <w:rtl/>
        </w:rPr>
        <w:t xml:space="preserve"> </w:t>
      </w:r>
      <w:r>
        <w:rPr>
          <w:rFonts w:ascii="David" w:hAnsi="David"/>
          <w:b/>
          <w:bCs/>
          <w:rtl/>
        </w:rPr>
        <w:t>לוי</w:t>
      </w:r>
      <w:r>
        <w:rPr>
          <w:rFonts w:ascii="David" w:hAnsi="David"/>
          <w:rtl/>
        </w:rPr>
        <w:t xml:space="preserve"> נקבע מפורשות, תוך אזכור פסיקה קודמת כי תיתכנה "... </w:t>
      </w:r>
      <w:r>
        <w:rPr>
          <w:rFonts w:ascii="David" w:hAnsi="David"/>
          <w:b/>
          <w:bCs/>
          <w:rtl/>
        </w:rPr>
        <w:t>נסיבות מיוחדות שבהן עשוי בית המשפט לפתוח את המכירה מחדש תוך מתן הזדמנות למציע הקודם להתחרות עם המציע החדש</w:t>
      </w:r>
      <w:r>
        <w:rPr>
          <w:rFonts w:ascii="David" w:hAnsi="David"/>
          <w:rtl/>
        </w:rPr>
        <w:t xml:space="preserve">..." (שם ; 428).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Pr>
      </w:pPr>
      <w:r>
        <w:rPr>
          <w:rFonts w:ascii="David" w:hAnsi="David"/>
          <w:b/>
          <w:bCs/>
          <w:rtl/>
        </w:rPr>
        <w:t>בפרשת לוי</w:t>
      </w:r>
      <w:r>
        <w:rPr>
          <w:rFonts w:ascii="David" w:hAnsi="David"/>
          <w:rtl/>
        </w:rPr>
        <w:t xml:space="preserve"> עצמה הובהר מפורשות מהן הנסיבות הפוטנציאליות בהן תיבחן האפשרות להתיר כניסתו של מציע חדש לזירה:</w:t>
      </w:r>
    </w:p>
    <w:p w:rsidR="005F3042" w:rsidRPr="00781CEF" w:rsidRDefault="005F3042" w:rsidP="005F3042">
      <w:pPr>
        <w:pStyle w:val="ac"/>
        <w:rPr>
          <w:rFonts w:ascii="David" w:hAnsi="David"/>
          <w:rtl/>
        </w:rPr>
      </w:pPr>
    </w:p>
    <w:p w:rsidR="005F3042" w:rsidRDefault="005F3042" w:rsidP="005F3042">
      <w:pPr>
        <w:pStyle w:val="ac"/>
        <w:spacing w:line="360" w:lineRule="auto"/>
        <w:jc w:val="both"/>
        <w:rPr>
          <w:rFonts w:ascii="David" w:hAnsi="David"/>
          <w:rtl/>
        </w:rPr>
      </w:pPr>
    </w:p>
    <w:p w:rsidR="005F3042" w:rsidRDefault="005F3042" w:rsidP="005F3042">
      <w:pPr>
        <w:pStyle w:val="ac"/>
        <w:spacing w:line="360" w:lineRule="auto"/>
        <w:jc w:val="both"/>
        <w:rPr>
          <w:rFonts w:ascii="David" w:hAnsi="David"/>
          <w:rtl/>
        </w:rPr>
      </w:pPr>
    </w:p>
    <w:p w:rsidR="005F3042" w:rsidRDefault="005F3042" w:rsidP="005F3042">
      <w:pPr>
        <w:pStyle w:val="ac"/>
        <w:spacing w:line="360" w:lineRule="auto"/>
        <w:jc w:val="both"/>
        <w:rPr>
          <w:rFonts w:ascii="David" w:hAnsi="David"/>
          <w:rtl/>
        </w:rPr>
      </w:pPr>
      <w:r>
        <w:rPr>
          <w:rFonts w:ascii="David" w:hAnsi="David"/>
          <w:rtl/>
        </w:rPr>
        <w:lastRenderedPageBreak/>
        <w:t xml:space="preserve"> "... </w:t>
      </w:r>
      <w:r>
        <w:rPr>
          <w:rFonts w:ascii="David" w:hAnsi="David"/>
          <w:b/>
          <w:bCs/>
          <w:rtl/>
        </w:rPr>
        <w:t xml:space="preserve">אין להוציא מכלל אפשרות כי בנסיבות חריגות ביותר ייתכן שהיה מקום להיזקק אף להצעה מאוחרת אילו ניתן הסבר מניח את הדעת לאיחור ובהינתן משמעות כלכלית מיוחדת להצעה החדשה ובכפוף לכך שהייתה ניתנת למציעים אחרים הזדמנות להשוות הצעותיהם, ומקום שלא היה בכך משום פגיעה מהותית בציפייה לגיטימית </w:t>
      </w:r>
      <w:r>
        <w:rPr>
          <w:rFonts w:ascii="David" w:hAnsi="David"/>
          <w:b/>
          <w:bCs/>
          <w:u w:val="single"/>
          <w:rtl/>
        </w:rPr>
        <w:t>שהספיק בינתיים להתקשר עם הנאמן בחוזה מכר</w:t>
      </w:r>
      <w:r>
        <w:rPr>
          <w:rFonts w:ascii="David" w:hAnsi="David"/>
          <w:rtl/>
        </w:rPr>
        <w:t xml:space="preserve">..." (שם, 430, הדגשות לא במקור – ב.ש).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ברע"א 4891/04 </w:t>
      </w:r>
      <w:r>
        <w:rPr>
          <w:rFonts w:ascii="David" w:hAnsi="David"/>
          <w:b/>
          <w:bCs/>
          <w:rtl/>
        </w:rPr>
        <w:t>וינקלר נ' בנק הפועלים בע"מ</w:t>
      </w:r>
      <w:r>
        <w:rPr>
          <w:rFonts w:ascii="David" w:hAnsi="David"/>
          <w:rtl/>
        </w:rPr>
        <w:t xml:space="preserve"> פ"ד נח (6) 721 (להלן: "</w:t>
      </w:r>
      <w:r>
        <w:rPr>
          <w:rFonts w:ascii="David" w:hAnsi="David"/>
          <w:b/>
          <w:bCs/>
          <w:rtl/>
        </w:rPr>
        <w:t>פרשת וינקלר</w:t>
      </w:r>
      <w:r>
        <w:rPr>
          <w:rFonts w:ascii="David" w:hAnsi="David"/>
          <w:rtl/>
        </w:rPr>
        <w:t xml:space="preserve">"), דן בית המשפט העליון בגורלו של הסכם מכר נכס מקרקעין מסחרי, </w:t>
      </w:r>
      <w:r>
        <w:rPr>
          <w:rFonts w:ascii="David" w:hAnsi="David"/>
          <w:b/>
          <w:bCs/>
          <w:u w:val="single"/>
          <w:rtl/>
        </w:rPr>
        <w:t>שנכרת</w:t>
      </w:r>
      <w:r>
        <w:rPr>
          <w:rFonts w:ascii="David" w:hAnsi="David"/>
          <w:rtl/>
        </w:rPr>
        <w:t xml:space="preserve"> בהליכי כינוס נכסים </w:t>
      </w:r>
      <w:r>
        <w:rPr>
          <w:rFonts w:ascii="David" w:hAnsi="David"/>
          <w:b/>
          <w:bCs/>
          <w:u w:val="single"/>
          <w:rtl/>
        </w:rPr>
        <w:t>ואושר</w:t>
      </w:r>
      <w:r>
        <w:rPr>
          <w:rFonts w:ascii="David" w:hAnsi="David"/>
          <w:rtl/>
        </w:rPr>
        <w:t xml:space="preserve"> על ידי הערכאה המפקחת, ראש ההוצאה לפועל (כתוארו דאז). באותו העניין מצא בית המשפט העליון לחזור על המושכלות שנקבעו בפרשת לוי, והפנה גם הוא לנסיבות בהן ניתן יהא לשקול כניסת מציע חדש לזירה – באותו המקרה לכאורה מקום בו נחצה קו פרשת המים האמור.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אנו רואים, אפוא, כי בניגוד לטענות הזוכה, גם </w:t>
      </w:r>
      <w:r w:rsidRPr="00781CEF">
        <w:rPr>
          <w:rFonts w:ascii="David" w:hAnsi="David" w:hint="cs"/>
          <w:rtl/>
        </w:rPr>
        <w:t>האמור ב</w:t>
      </w:r>
      <w:r w:rsidRPr="00781CEF">
        <w:rPr>
          <w:rFonts w:ascii="David" w:hAnsi="David"/>
          <w:b/>
          <w:bCs/>
          <w:rtl/>
        </w:rPr>
        <w:t>פרשת לוי</w:t>
      </w:r>
      <w:r>
        <w:rPr>
          <w:rFonts w:ascii="David" w:hAnsi="David"/>
          <w:rtl/>
        </w:rPr>
        <w:t xml:space="preserve"> איננ</w:t>
      </w:r>
      <w:r>
        <w:rPr>
          <w:rFonts w:ascii="David" w:hAnsi="David" w:hint="cs"/>
          <w:rtl/>
        </w:rPr>
        <w:t>ו</w:t>
      </w:r>
      <w:r>
        <w:rPr>
          <w:rFonts w:ascii="David" w:hAnsi="David"/>
          <w:rtl/>
        </w:rPr>
        <w:t xml:space="preserve"> בבחינת מחסום בלתי עביר מפני כניסתו של מציע חדש לזירה </w:t>
      </w:r>
      <w:r w:rsidRPr="00781CEF">
        <w:rPr>
          <w:rFonts w:ascii="David" w:hAnsi="David"/>
          <w:b/>
          <w:bCs/>
          <w:rtl/>
        </w:rPr>
        <w:t>ובפרשת לוי</w:t>
      </w:r>
      <w:r>
        <w:rPr>
          <w:rFonts w:ascii="David" w:hAnsi="David"/>
          <w:rtl/>
        </w:rPr>
        <w:t xml:space="preserve"> עצמה כבר הבהיר בית המשפט העליון</w:t>
      </w:r>
      <w:r>
        <w:rPr>
          <w:rFonts w:ascii="David" w:hAnsi="David" w:hint="cs"/>
          <w:rtl/>
        </w:rPr>
        <w:t xml:space="preserve"> הנכבד</w:t>
      </w:r>
      <w:r>
        <w:rPr>
          <w:rFonts w:ascii="David" w:hAnsi="David"/>
          <w:rtl/>
        </w:rPr>
        <w:t xml:space="preserve"> מה תהיינה נסיבות לגיטימיות בהן תיבחן כניסה זו.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מכאן, לנסיבות שלפניי. בניגוד לנסיבות </w:t>
      </w:r>
      <w:r>
        <w:rPr>
          <w:rFonts w:ascii="David" w:hAnsi="David"/>
          <w:b/>
          <w:bCs/>
          <w:rtl/>
        </w:rPr>
        <w:t>בפרשת לוי</w:t>
      </w:r>
      <w:r>
        <w:rPr>
          <w:rFonts w:ascii="David" w:hAnsi="David"/>
          <w:rtl/>
        </w:rPr>
        <w:t xml:space="preserve">, שם התקשר נאמן עם מציע בהסכם </w:t>
      </w:r>
      <w:r>
        <w:rPr>
          <w:rFonts w:ascii="David" w:hAnsi="David"/>
          <w:b/>
          <w:bCs/>
          <w:rtl/>
        </w:rPr>
        <w:t>שכבר נכרת</w:t>
      </w:r>
      <w:r>
        <w:rPr>
          <w:rFonts w:ascii="David" w:hAnsi="David"/>
          <w:rtl/>
        </w:rPr>
        <w:t xml:space="preserve">,  ובניגוד לנסיבות </w:t>
      </w:r>
      <w:r>
        <w:rPr>
          <w:rFonts w:ascii="David" w:hAnsi="David"/>
          <w:b/>
          <w:bCs/>
          <w:rtl/>
        </w:rPr>
        <w:t>שבפרשת וינקלר</w:t>
      </w:r>
      <w:r>
        <w:rPr>
          <w:rFonts w:ascii="David" w:hAnsi="David"/>
          <w:rtl/>
        </w:rPr>
        <w:t xml:space="preserve">, שבו כבר אושר המכר על ידי ראש ההוצאה לפועל, הנסיבות שלפני שונות בתכלית. שכן אין מחלוקת כי </w:t>
      </w:r>
      <w:r>
        <w:rPr>
          <w:rFonts w:ascii="David" w:hAnsi="David"/>
          <w:b/>
          <w:bCs/>
          <w:u w:val="single"/>
          <w:rtl/>
        </w:rPr>
        <w:t>הסכם בענייננו טרם נכרת</w:t>
      </w:r>
      <w:r>
        <w:rPr>
          <w:rFonts w:ascii="David" w:hAnsi="David" w:hint="cs"/>
          <w:b/>
          <w:bCs/>
          <w:u w:val="single"/>
          <w:rtl/>
        </w:rPr>
        <w:t xml:space="preserve"> בין כונס הנכסים ובין</w:t>
      </w:r>
      <w:r>
        <w:rPr>
          <w:rFonts w:ascii="David" w:hAnsi="David"/>
          <w:b/>
          <w:bCs/>
          <w:u w:val="single"/>
          <w:rtl/>
        </w:rPr>
        <w:t xml:space="preserve"> הזוכה</w:t>
      </w:r>
      <w:r>
        <w:rPr>
          <w:rFonts w:ascii="David" w:hAnsi="David"/>
          <w:rtl/>
        </w:rPr>
        <w:t>, תוך שלמעשה הצדדים טרם חצו את שלב המשא ומתן החוזי סביב הזכייה בהתמחרות.  טיוטת ההסכם טרם מולאה עד תומה (גם אם ניתן להניח שהסוגיות שנותרו להשלמה בטיוטה לא היו במחלוקת), ובפני כונס הנכסים אף לא הוצגה הרשאה מפורשת כדין מטעם התאגיד הזוכה להתקשר בהסכם. בוודאי שבנסיבות אלה מוקשה יהא ליתן משקל מכריע לטענה בדבר הסתמכות של הזוכה על הזכיה.</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הדברים יפים במשנה תוקף מקום בו אף אין מחלוקת כי הזוכה עצמה ולכל הפחות המורשה מטעמה, היו מודעים היטב לכך שהזכיה עצמה תתממש </w:t>
      </w:r>
      <w:r w:rsidRPr="00781CEF">
        <w:rPr>
          <w:rFonts w:ascii="David" w:hAnsi="David"/>
          <w:b/>
          <w:bCs/>
          <w:rtl/>
        </w:rPr>
        <w:t>אך ורק בכפוף לאישורה על ידי בית המשפט</w:t>
      </w:r>
      <w:r>
        <w:rPr>
          <w:rFonts w:ascii="David" w:hAnsi="David"/>
          <w:rtl/>
        </w:rPr>
        <w:t xml:space="preserve">. </w:t>
      </w:r>
    </w:p>
    <w:p w:rsidR="005F3042" w:rsidRDefault="005F3042" w:rsidP="005F3042">
      <w:pPr>
        <w:pStyle w:val="ac"/>
        <w:rPr>
          <w:rFonts w:ascii="David" w:hAnsi="David"/>
          <w:rtl/>
        </w:rPr>
      </w:pPr>
    </w:p>
    <w:p w:rsidR="005F3042" w:rsidRDefault="005F3042" w:rsidP="005F3042">
      <w:pPr>
        <w:pStyle w:val="ac"/>
        <w:rPr>
          <w:rFonts w:ascii="David" w:hAnsi="David"/>
          <w:rtl/>
        </w:rPr>
      </w:pPr>
    </w:p>
    <w:p w:rsidR="005F3042" w:rsidRDefault="005F3042" w:rsidP="005F3042">
      <w:pPr>
        <w:pStyle w:val="ac"/>
        <w:rPr>
          <w:rFonts w:ascii="David" w:hAnsi="David"/>
          <w:rtl/>
        </w:rPr>
      </w:pPr>
    </w:p>
    <w:p w:rsidR="005F3042" w:rsidRDefault="005F3042" w:rsidP="005F3042">
      <w:pPr>
        <w:pStyle w:val="ac"/>
        <w:rPr>
          <w:rFonts w:ascii="David" w:hAnsi="David"/>
          <w:rtl/>
        </w:rPr>
      </w:pPr>
    </w:p>
    <w:p w:rsidR="005F3042" w:rsidRDefault="005F3042" w:rsidP="005F3042">
      <w:pPr>
        <w:pStyle w:val="ac"/>
        <w:rPr>
          <w:rFonts w:ascii="David" w:hAnsi="David"/>
          <w:rtl/>
        </w:rPr>
      </w:pP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lastRenderedPageBreak/>
        <w:t xml:space="preserve">כך כללה ההצעה הכתובה לרכישת הנכס טרם ההתמחרות, אשר נחתמה על ידי נציג הזוכה, תנאי מפורש לפיו "... </w:t>
      </w:r>
      <w:r>
        <w:rPr>
          <w:rFonts w:ascii="David" w:hAnsi="David"/>
          <w:b/>
          <w:bCs/>
          <w:rtl/>
        </w:rPr>
        <w:t>גם אם נוכרז כזוכים זכייתנו כפופה לחתימה על הסכם מכר מפורט ומקובל שיערך על ידכם ובהתאם לתנאים שיפורטו בו. בכל מקרה, ברור לנו כי המכירה כפופה לאישורו של בית המשפט לענייני משפחה בבאר שבע</w:t>
      </w:r>
      <w:r>
        <w:rPr>
          <w:rFonts w:ascii="David" w:hAnsi="David"/>
          <w:rtl/>
        </w:rPr>
        <w:t xml:space="preserve"> (כך במקור -  ב.ש)..." (נספח ג' לתגובת כונס הנכסים מיום 22.3.24).</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כך גם כללה ההזמנה להציע הצעות (שבניגוד לנסיבות בפרשת לוי איננה בגדר "מכרז" של ממש) הבהרה מפורשת כי ההזמנה </w:t>
      </w:r>
      <w:r>
        <w:rPr>
          <w:rFonts w:ascii="David" w:hAnsi="David"/>
          <w:b/>
          <w:bCs/>
          <w:rtl/>
        </w:rPr>
        <w:t>איננה כפופה לדיני המכרזים</w:t>
      </w:r>
      <w:r>
        <w:rPr>
          <w:rFonts w:ascii="David" w:hAnsi="David"/>
          <w:rtl/>
        </w:rPr>
        <w:t xml:space="preserve"> וכי </w:t>
      </w:r>
      <w:r>
        <w:rPr>
          <w:rFonts w:ascii="David" w:hAnsi="David"/>
          <w:b/>
          <w:bCs/>
          <w:rtl/>
        </w:rPr>
        <w:t>המכירה כפופה לאישור בית המשפט</w:t>
      </w:r>
      <w:r>
        <w:rPr>
          <w:rFonts w:ascii="David" w:hAnsi="David"/>
          <w:rtl/>
        </w:rPr>
        <w:t xml:space="preserve"> (סעיפים 5 – 6 להזמנה להציע הצעות, נספח ב' לתגובת כונס הנכסים מיום 22.3.24). </w:t>
      </w:r>
    </w:p>
    <w:p w:rsidR="005F3042" w:rsidRDefault="005F3042" w:rsidP="005F3042">
      <w:pPr>
        <w:pStyle w:val="ac"/>
        <w:spacing w:line="360" w:lineRule="auto"/>
        <w:jc w:val="both"/>
        <w:rPr>
          <w:rFonts w:ascii="David" w:hAnsi="David"/>
          <w:rtl/>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אם לא די בכך הרי שגם טיוטת ההסכם שניסח כונס הנכסים כללה </w:t>
      </w:r>
      <w:r>
        <w:rPr>
          <w:rFonts w:ascii="David" w:hAnsi="David"/>
          <w:b/>
          <w:bCs/>
          <w:rtl/>
        </w:rPr>
        <w:t>תנאי מתלה בדבר הכפפת ההסכם לאישור בית המשפט לענייני משפחה</w:t>
      </w:r>
      <w:r>
        <w:rPr>
          <w:rFonts w:ascii="David" w:hAnsi="David"/>
          <w:rtl/>
        </w:rPr>
        <w:t xml:space="preserve"> (נספח א' לתגובת כונס הנכסים מיום 22.3.24). לא ראיתי שהזוכה לא היתה מודעת גם לכך.  </w:t>
      </w:r>
    </w:p>
    <w:p w:rsidR="005F3042" w:rsidRDefault="005F3042" w:rsidP="005F3042">
      <w:pPr>
        <w:pStyle w:val="ac"/>
        <w:spacing w:line="360" w:lineRule="auto"/>
        <w:jc w:val="both"/>
        <w:rPr>
          <w:rFonts w:ascii="David" w:hAnsi="David"/>
        </w:rPr>
      </w:pPr>
    </w:p>
    <w:p w:rsidR="005F3042" w:rsidRDefault="005F3042" w:rsidP="005F3042">
      <w:pPr>
        <w:pStyle w:val="ac"/>
        <w:numPr>
          <w:ilvl w:val="0"/>
          <w:numId w:val="6"/>
        </w:numPr>
        <w:spacing w:after="160" w:line="360" w:lineRule="auto"/>
        <w:jc w:val="both"/>
        <w:rPr>
          <w:rFonts w:ascii="David" w:hAnsi="David"/>
        </w:rPr>
      </w:pPr>
      <w:r>
        <w:rPr>
          <w:rFonts w:ascii="David" w:hAnsi="David"/>
          <w:rtl/>
        </w:rPr>
        <w:t xml:space="preserve">בנסיבות אלה, בוודאי שטענה בדבר הסתמכות הזוכה על הליך ההתמחרות לבדה, איננה יכולה לעמוד לה.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ראינו, אפוא, כי במקרה שלפני טרם נכרת הסכם, כשלצדו טרם הוצגה לפני כונס הנכסים הרשאה מפורשת של התאגיד הזוכה להתקשר בהסכם, והזוכה היתה מודעת היטב בכתובים כי זכיה בהתמחרות לבדה, או אפילו כריתת ההסכם עצמו, אינם מגבשים מחסום בלתי עביר מפני קיום התמחרות נוספת.</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לכך יש להוסיף את השיהוי הקצר – בן שבוע בלבד – מאז הסתיימה ההתמחרות ועד אשר הוגשה הבקשה שלפני. </w:t>
      </w:r>
    </w:p>
    <w:p w:rsidR="005F3042" w:rsidRDefault="005F3042" w:rsidP="005F3042">
      <w:pPr>
        <w:pStyle w:val="ac"/>
        <w:rPr>
          <w:rFonts w:ascii="David" w:hAnsi="David"/>
        </w:rPr>
      </w:pPr>
    </w:p>
    <w:p w:rsidR="005F3042" w:rsidRDefault="005F3042" w:rsidP="005F3042">
      <w:pPr>
        <w:pStyle w:val="ac"/>
        <w:spacing w:line="360" w:lineRule="auto"/>
        <w:jc w:val="both"/>
        <w:rPr>
          <w:rFonts w:ascii="David" w:hAnsi="David"/>
          <w:rtl/>
        </w:rPr>
      </w:pPr>
      <w:r>
        <w:rPr>
          <w:rFonts w:ascii="David" w:hAnsi="David"/>
          <w:rtl/>
        </w:rPr>
        <w:t xml:space="preserve">בחינתו של שיהוי זה איננה שונה רבות מהשיקולים שבית המשפט נדרש לשקול בכל "מקבילית כוחות" שבה בין היתר מתבקשת ארכה או מתבקש סעד המושתת על עמידה בלוח זמנים (בין אם בסעדים זמניים, בבקשות לביטול החלטות על פי צד אחד, בבקשות רשות להתגונן, או בבקשות לביטול צו ירושה או קיום צוואה מכח סעיף 72 </w:t>
      </w:r>
      <w:r>
        <w:rPr>
          <w:rFonts w:ascii="David" w:hAnsi="David"/>
          <w:b/>
          <w:bCs/>
          <w:rtl/>
        </w:rPr>
        <w:t>לחוק הירושה, התשכ"ה – 1965</w:t>
      </w:r>
      <w:r>
        <w:rPr>
          <w:rFonts w:ascii="David" w:hAnsi="David"/>
          <w:rtl/>
        </w:rPr>
        <w:t xml:space="preserve"> עסקינן). </w:t>
      </w:r>
    </w:p>
    <w:p w:rsidR="005F3042" w:rsidRDefault="005F3042" w:rsidP="005F3042">
      <w:pPr>
        <w:pStyle w:val="ac"/>
        <w:rPr>
          <w:rFonts w:ascii="David" w:hAnsi="David"/>
        </w:rPr>
      </w:pPr>
    </w:p>
    <w:p w:rsidR="005F3042" w:rsidRDefault="005F3042" w:rsidP="005F3042">
      <w:pPr>
        <w:pStyle w:val="ac"/>
        <w:spacing w:line="360" w:lineRule="auto"/>
        <w:jc w:val="both"/>
        <w:rPr>
          <w:rFonts w:ascii="David" w:hAnsi="David"/>
          <w:rtl/>
        </w:rPr>
      </w:pPr>
      <w:r>
        <w:rPr>
          <w:rFonts w:ascii="David" w:hAnsi="David"/>
          <w:rtl/>
        </w:rPr>
        <w:t>בהתאם, ככל שהשיהוי ממושך פחות, תגבר הנטייה להיעתר לבקשה אשר הסבר לגופו של עניין בהקשרה מניח את הדעת.</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כאמור, במקרה שלפנינו עסקינן בשיהוי קצר מאד שהוסבר בין היתר בהיעדר מודעות של המציעה החדשה ונציגה, תושב שדרות, בזמן אמת לקיום ההתמחרות לנוכח מצבה המלחמה (ראו למשל עמ' 51 שורות 23 – 26 לפרוטוקול). דומה שאין צורך להכביר מילים על אודות מצבה של העיר שדרות במהלך החודשים האחרונים בזמן המלחמה, והשיהוי הקצר שבין הליך ההתמחרות ובין הגשת הבקשה כשלעצמו מייתר את הצורך לערוך משפט זוטא בשאלה האם אמנם היתה המציעה מודעת להתמחרות קודם לכן אם לאו. </w:t>
      </w:r>
    </w:p>
    <w:p w:rsidR="005F3042" w:rsidRDefault="005F3042" w:rsidP="005F3042">
      <w:pPr>
        <w:pStyle w:val="ac"/>
        <w:spacing w:line="360" w:lineRule="auto"/>
        <w:jc w:val="both"/>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לכך יש להוסיף, כי לא הוצגה לפני כל ראיה חפצית המלמדת על שינוי מצב לרעה </w:t>
      </w:r>
      <w:r>
        <w:rPr>
          <w:rFonts w:ascii="David" w:hAnsi="David" w:hint="cs"/>
          <w:rtl/>
        </w:rPr>
        <w:t xml:space="preserve">ובפועל </w:t>
      </w:r>
      <w:r>
        <w:rPr>
          <w:rFonts w:ascii="David" w:hAnsi="David"/>
          <w:rtl/>
        </w:rPr>
        <w:t>של נציג הזוכה או של הזוכה עצמה כתוצאה מהשתתפות בהתמחרות, לבד מטענות בעל פה. חזקה שניתן היה להציג ראיות שכאלה ככל שבמהלך השבוע שבין ההתמחרות ועד אשר הוגשה הבקשה השתנה מצבה של הזוכה באופן כה משמעותי.</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סיכום בינים של האמור – במקרה שלפני לא ניתן לקבוע כי התגבש אינטרס הסתמכות, לבטח שלא בלתי עביר, אצל הזוכה. זו טרם כרתה על הסכם מכר, לא כל שכן זכתה לאישורו על ידי בית המשפט</w:t>
      </w:r>
      <w:r>
        <w:rPr>
          <w:rFonts w:ascii="David" w:hAnsi="David" w:hint="cs"/>
          <w:rtl/>
        </w:rPr>
        <w:t>,</w:t>
      </w:r>
      <w:r>
        <w:rPr>
          <w:rFonts w:ascii="David" w:hAnsi="David"/>
          <w:rtl/>
        </w:rPr>
        <w:t xml:space="preserve"> תנאים מטרימים ומתלים שהיו מודעים לה היטב כחלק מתנאי ההזמנה להציע הצעות בה נטלה חלק. פרק הזמן שחלף מאז התקיימה ההתמחרות ועד אשר הוגשה הבקשה הוא קצר מאד, וההסבר שניתן לשיהוי זה על ידי המציעה החדשה – גם אם בעל פה וגם אם כנגד דעתה של הזוכה – הוא בגבולות הסביר.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במהלך הדיון הציגה הזוכה טרוניה באשר לכך שמי מבעלי הדין הוא שפנה למציעה החדשה לאחר קיום ההתמחרות ועניין אותה בדבר. לא מצאתי בכך פסול של ממש (לא כל שכן פסול מהותי), מקום בו ממילא ברי כי </w:t>
      </w:r>
      <w:r>
        <w:rPr>
          <w:rFonts w:ascii="David" w:hAnsi="David"/>
          <w:b/>
          <w:bCs/>
          <w:rtl/>
        </w:rPr>
        <w:t>האחריות לניהול הליך כינוס הנכסים איננה לפתח בעלי הדין כי אם לפתחו של כונס הנכסים,</w:t>
      </w:r>
      <w:r>
        <w:rPr>
          <w:rFonts w:ascii="David" w:hAnsi="David"/>
          <w:rtl/>
        </w:rPr>
        <w:t xml:space="preserve"> </w:t>
      </w:r>
      <w:r>
        <w:rPr>
          <w:rFonts w:ascii="David" w:hAnsi="David"/>
          <w:b/>
          <w:bCs/>
          <w:rtl/>
        </w:rPr>
        <w:t>והאחריות לאישורו של המכר מונחת לפתח בית המשפט</w:t>
      </w:r>
      <w:r>
        <w:rPr>
          <w:rFonts w:ascii="David" w:hAnsi="David"/>
          <w:rtl/>
        </w:rPr>
        <w:t xml:space="preserve">. </w:t>
      </w:r>
    </w:p>
    <w:p w:rsidR="005F3042" w:rsidRDefault="005F3042" w:rsidP="005F3042">
      <w:pPr>
        <w:pStyle w:val="ac"/>
        <w:spacing w:line="360" w:lineRule="auto"/>
        <w:jc w:val="both"/>
        <w:rPr>
          <w:rFonts w:ascii="David" w:hAnsi="David"/>
          <w:rtl/>
        </w:rPr>
      </w:pPr>
    </w:p>
    <w:p w:rsidR="005F3042" w:rsidRDefault="005F3042" w:rsidP="005F3042">
      <w:pPr>
        <w:pStyle w:val="ac"/>
        <w:numPr>
          <w:ilvl w:val="0"/>
          <w:numId w:val="6"/>
        </w:numPr>
        <w:spacing w:after="160" w:line="360" w:lineRule="auto"/>
        <w:jc w:val="both"/>
        <w:rPr>
          <w:rFonts w:ascii="David" w:hAnsi="David"/>
          <w:b/>
          <w:bCs/>
        </w:rPr>
      </w:pPr>
      <w:r>
        <w:rPr>
          <w:rFonts w:ascii="David" w:hAnsi="David"/>
          <w:rtl/>
        </w:rPr>
        <w:t xml:space="preserve">מכאן, לבחינת תנאי ההצעה החדשה ורצינות כוונות המציעה. כאמור בדיון, המציעה החדשה העמידה את הצעתה על סך 6,500,000 ₪ בתוספת מע"מ (קרי בסה"כ 7,605,000 ₪)– באותם התנאים שהציג כונס הנכסים, קרי רכישת הזכויות בנכס במצבם </w:t>
      </w:r>
      <w:r>
        <w:rPr>
          <w:rFonts w:ascii="David" w:hAnsi="David"/>
        </w:rPr>
        <w:t>AS IS</w:t>
      </w:r>
      <w:r>
        <w:rPr>
          <w:rFonts w:ascii="David" w:hAnsi="David"/>
          <w:rtl/>
        </w:rPr>
        <w:t xml:space="preserve">, ונטילת האחריות להכשרת כלל החריגות, אי ההתאמות, והבעיות התכנוניות הקיימות בנכס על חשבונה. לשם השוואה, הצעת הזוכה עמדה על סך 5,150,000 ₪ בתוספת מע"מ (ובסה"כ 6,025,500 ₪). </w:t>
      </w:r>
      <w:r w:rsidRPr="00535CB6">
        <w:rPr>
          <w:rFonts w:ascii="David" w:hAnsi="David"/>
          <w:rtl/>
        </w:rPr>
        <w:t>מדובר בהצעה הגבוהה בכעשרים ושישה אחוזים (!) ובלמעלה מ- 1.5 מליון ₪ מהצעת הזוכה.</w:t>
      </w:r>
      <w:r>
        <w:rPr>
          <w:rFonts w:ascii="David" w:hAnsi="David"/>
          <w:b/>
          <w:bCs/>
          <w:rtl/>
        </w:rPr>
        <w:t xml:space="preserve"> </w:t>
      </w:r>
    </w:p>
    <w:p w:rsidR="005F3042" w:rsidRDefault="005F3042" w:rsidP="005F3042">
      <w:pPr>
        <w:pStyle w:val="ac"/>
        <w:rPr>
          <w:rFonts w:ascii="David" w:hAnsi="David"/>
          <w:b/>
          <w:bCs/>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lastRenderedPageBreak/>
        <w:t>השאת התמורה לבעלי הדין היא בבחינת שיקול משמעותי כשבהליכי כינוס נכסים עסקינן, במיוחד עת מדובר בנכס מסחרי ובהליכי מכר לצד ג' – במובחן למכר בין בני משפחה בלבד.</w:t>
      </w:r>
    </w:p>
    <w:p w:rsidR="005F3042" w:rsidRDefault="005F3042" w:rsidP="005F3042">
      <w:pPr>
        <w:pStyle w:val="ac"/>
        <w:rPr>
          <w:rFonts w:ascii="David" w:hAnsi="David"/>
        </w:rPr>
      </w:pPr>
    </w:p>
    <w:p w:rsidR="005F3042" w:rsidRDefault="005F3042" w:rsidP="005F3042">
      <w:pPr>
        <w:pStyle w:val="ac"/>
        <w:spacing w:line="360" w:lineRule="auto"/>
        <w:jc w:val="both"/>
        <w:rPr>
          <w:rFonts w:ascii="David" w:hAnsi="David"/>
          <w:rtl/>
        </w:rPr>
      </w:pPr>
      <w:r>
        <w:rPr>
          <w:rFonts w:ascii="David" w:hAnsi="David"/>
          <w:rtl/>
        </w:rPr>
        <w:t xml:space="preserve">ברוח זו, לא ניתן להתעלם מפוטנציאל השאת התמורה המשמעותי לבעלי הדין בהליך העיקרי שהתנהל לפני – החפצים כולם  בקיום התמחרות  חדשה - כתוצאה ממתן אפשרות למציעה החדשה להשתתף בהתמחרות חדשה. זאת, במיוחד כאשר המציעה החדשה מודעת למורכבות הנטענת בקשר עם מצבו של הנכס ומציעה לרכוש את הזכויות במצבו ולהכשיר על חשבונה כל הדרוש. לכך יש להוסיף גם כי המציעה החדשה כבר הפגינה רצינות בעצם הנפקת שיק בנקאי לטובת כונס הנכסים על חשבון הצעתה בשיעורה הקודם. </w:t>
      </w:r>
    </w:p>
    <w:p w:rsidR="005F3042" w:rsidRDefault="005F3042" w:rsidP="005F3042">
      <w:pPr>
        <w:pStyle w:val="ac"/>
        <w:spacing w:line="360" w:lineRule="auto"/>
        <w:jc w:val="both"/>
        <w:rPr>
          <w:rFonts w:ascii="David" w:hAnsi="David"/>
          <w:rtl/>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אל מול הפער המשמעותי בין הצעת הזוכה ובין הצעתה של המציעה לא ניתן ליתן בכורה ועדיפות אך ורק לכך שהוכרז זוכה בהתמחרות בנסיבות שפורטו לעיל.  דומני שהמקרה שלפני הוא בדיוק מסוג המקרים בהם גם על פי ההלכה הפסוקה יש לאזן בין מכלול השיקולים שפורטו לעיל באופן שתינתן לזוכה ההזדמנות להתמחר אל מול המציעה החדשה. כך, מחד, לא תאושר הצעה חדשה</w:t>
      </w:r>
      <w:r>
        <w:rPr>
          <w:rFonts w:ascii="David" w:hAnsi="David"/>
          <w:b/>
          <w:bCs/>
          <w:rtl/>
        </w:rPr>
        <w:t xml:space="preserve"> </w:t>
      </w:r>
      <w:r>
        <w:rPr>
          <w:rFonts w:ascii="David" w:hAnsi="David"/>
          <w:rtl/>
        </w:rPr>
        <w:t>מראש, ומנגד יתאפשר גם לזוכה להתחרות בהצעת המציעה החדשה.</w:t>
      </w:r>
    </w:p>
    <w:p w:rsidR="005F3042" w:rsidRDefault="005F3042" w:rsidP="005F3042">
      <w:pPr>
        <w:pStyle w:val="ac"/>
        <w:spacing w:line="360" w:lineRule="auto"/>
        <w:jc w:val="both"/>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כמובן, שהאמור יהא בכפוף לכך שהמציעה החדשה תגיש באמצעות מורשה או מורשיה הצעה של ממש, תחתום על כלל מסמכי ההצעה על פי נהלי כונס הנכסים, ותתמוך ההצעה בשיק בנקאי על סכום הצעתה כאמור לעיל על פי נהלי הכונס. זאת, לא יאוחר מיום 9.6.24. ככל שתעשה כן וכונס הנכסים יאשר שהאמור הוצג והופקד אצלו כל הדרוש לשביעות רצונו, יקיים כונס הנכסים התמחרות חדשה בין המציעה החדשה ובין הזוכה. </w:t>
      </w:r>
    </w:p>
    <w:p w:rsidR="005F3042" w:rsidRDefault="005F3042" w:rsidP="005F3042">
      <w:pPr>
        <w:pStyle w:val="ac"/>
        <w:rPr>
          <w:rFonts w:ascii="David" w:hAnsi="David"/>
        </w:rPr>
      </w:pPr>
    </w:p>
    <w:p w:rsidR="005F3042" w:rsidRDefault="005F3042" w:rsidP="005F3042">
      <w:pPr>
        <w:pStyle w:val="ac"/>
        <w:spacing w:line="360" w:lineRule="auto"/>
        <w:jc w:val="both"/>
        <w:rPr>
          <w:rFonts w:ascii="David" w:hAnsi="David"/>
          <w:rtl/>
        </w:rPr>
      </w:pPr>
      <w:r>
        <w:rPr>
          <w:rFonts w:ascii="David" w:hAnsi="David"/>
          <w:rtl/>
        </w:rPr>
        <w:t xml:space="preserve">היה ולא ייעשה כן ולא תינתן כל החלטה אחרת, בחלוף המועד שנקצב לא תינתן למציעה החדשה אפשרות להתמחר וכונס הנכסים ישלים את עריכת ההסכם אל מול הזוכה. </w:t>
      </w:r>
    </w:p>
    <w:p w:rsidR="005F3042" w:rsidRDefault="005F3042" w:rsidP="005F3042">
      <w:pPr>
        <w:pStyle w:val="ac"/>
        <w:rPr>
          <w:rFonts w:ascii="David" w:hAnsi="David"/>
        </w:rPr>
      </w:pPr>
    </w:p>
    <w:p w:rsidR="005F3042" w:rsidRDefault="005F3042" w:rsidP="005F3042">
      <w:pPr>
        <w:pStyle w:val="ac"/>
        <w:numPr>
          <w:ilvl w:val="0"/>
          <w:numId w:val="6"/>
        </w:numPr>
        <w:spacing w:after="160" w:line="360" w:lineRule="auto"/>
        <w:jc w:val="both"/>
        <w:rPr>
          <w:rFonts w:ascii="David" w:hAnsi="David"/>
          <w:rtl/>
        </w:rPr>
      </w:pPr>
      <w:r>
        <w:rPr>
          <w:rFonts w:ascii="David" w:hAnsi="David"/>
          <w:rtl/>
        </w:rPr>
        <w:t xml:space="preserve">המזכירות תמציא ההחלטה לצדדים כמו גם לזוכה, וכונס הנכסים ימציא את ההחלטה גם למציעה החדשה ויצרף על כך אסמכתא לתיק. </w:t>
      </w:r>
    </w:p>
    <w:p w:rsidR="005F3042" w:rsidRDefault="005F3042" w:rsidP="005F3042">
      <w:pPr>
        <w:pStyle w:val="ac"/>
        <w:spacing w:line="360" w:lineRule="auto"/>
        <w:jc w:val="both"/>
        <w:rPr>
          <w:rFonts w:ascii="David" w:hAnsi="David"/>
          <w:rtl/>
        </w:rPr>
      </w:pPr>
      <w:r>
        <w:rPr>
          <w:rFonts w:ascii="David" w:hAnsi="David"/>
          <w:rtl/>
        </w:rPr>
        <w:t>החלטתי זו ניתנת לפרסום בהשמטת מלוא פרטיהם המזהים של הצדדים, בעלי הדין השונים ובני משפחותיהם.</w:t>
      </w:r>
    </w:p>
    <w:p w:rsidR="005F3042" w:rsidRDefault="005F3042" w:rsidP="005F3042">
      <w:pPr>
        <w:pStyle w:val="ac"/>
        <w:spacing w:line="360" w:lineRule="auto"/>
        <w:jc w:val="both"/>
        <w:rPr>
          <w:rFonts w:ascii="David" w:hAnsi="David"/>
          <w:rtl/>
        </w:rPr>
      </w:pPr>
      <w:r>
        <w:rPr>
          <w:rFonts w:ascii="David" w:hAnsi="David"/>
          <w:rtl/>
        </w:rPr>
        <w:t xml:space="preserve">דיווח מעדכן מטעם כונס הנכסים יוגש לא יאוחר מיום 30.6.24. </w:t>
      </w:r>
    </w:p>
    <w:p w:rsidR="005F3042" w:rsidRDefault="005F3042" w:rsidP="005F3042">
      <w:pPr>
        <w:spacing w:line="360" w:lineRule="auto"/>
        <w:ind w:firstLine="720"/>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מאי 2024</w:t>
          </w:r>
        </w:sdtContent>
      </w:sdt>
      <w:r>
        <w:rPr>
          <w:rFonts w:ascii="Arial" w:hAnsi="Arial"/>
          <w:noProof w:val="0"/>
          <w:rtl/>
        </w:rPr>
        <w:t>, בהעדר הצדדים.</w:t>
      </w:r>
    </w:p>
    <w:p w:rsidR="005F3042" w:rsidRDefault="00F7652F" w:rsidP="005F3042">
      <w:pPr>
        <w:tabs>
          <w:tab w:val="left" w:pos="2553"/>
        </w:tabs>
        <w:ind w:left="5040"/>
        <w:rPr>
          <w:rtl/>
        </w:rPr>
      </w:pPr>
      <w:sdt>
        <w:sdtPr>
          <w:rPr>
            <w:rFonts w:hint="cs"/>
            <w:rtl/>
          </w:rPr>
          <w:alias w:val="2045"/>
          <w:tag w:val="2045"/>
          <w:id w:val="740689340"/>
          <w:placeholder>
            <w:docPart w:val="4728826DFA3E4A6B8053FEFD62185DE4"/>
          </w:placeholder>
          <w:showingPlcHdr/>
          <w:text w:multiLine="1"/>
        </w:sdtPr>
        <w:sdtEndPr/>
        <w:sdtContent>
          <w:r w:rsidR="005F3042">
            <w:rPr>
              <w:rFonts w:hint="cs"/>
              <w:rtl/>
            </w:rPr>
            <w:t xml:space="preserve">     </w:t>
          </w:r>
        </w:sdtContent>
      </w:sdt>
    </w:p>
    <w:p w:rsidR="005F3042" w:rsidRDefault="005F3042" w:rsidP="005F3042">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0193554"/>
        </w:sdtPr>
        <w:sdtEndPr/>
        <w:sdtContent>
          <w:r>
            <w:drawing>
              <wp:inline distT="0" distB="0" distL="0" distR="0" wp14:anchorId="72C2EA97" wp14:editId="3AAE8D1B">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5F3042" w:rsidRDefault="005F3042" w:rsidP="005F3042">
      <w:pPr>
        <w:tabs>
          <w:tab w:val="left" w:pos="2553"/>
        </w:tabs>
        <w:rPr>
          <w:rFonts w:ascii="Arial" w:hAnsi="Arial"/>
          <w:noProof w:val="0"/>
          <w:rtl/>
        </w:rPr>
      </w:pPr>
    </w:p>
    <w:p w:rsidR="00CB1E7A" w:rsidRPr="00F43693" w:rsidRDefault="00CB1E7A" w:rsidP="00F43693"/>
    <w:sectPr w:rsidR="00CB1E7A" w:rsidRPr="00F43693"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52F" w:rsidRDefault="00F7652F" w:rsidP="00A30504">
      <w:r>
        <w:separator/>
      </w:r>
    </w:p>
  </w:endnote>
  <w:endnote w:type="continuationSeparator" w:id="0">
    <w:p w:rsidR="00F7652F" w:rsidRDefault="00F7652F"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817" w:rsidRDefault="002D381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2D3817">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2D3817">
      <w:rPr>
        <w:rStyle w:val="a8"/>
        <w:rtl/>
      </w:rPr>
      <w:t>8</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817" w:rsidRDefault="002D38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52F" w:rsidRDefault="00F7652F" w:rsidP="00A30504">
      <w:r>
        <w:separator/>
      </w:r>
    </w:p>
  </w:footnote>
  <w:footnote w:type="continuationSeparator" w:id="0">
    <w:p w:rsidR="00F7652F" w:rsidRDefault="00F7652F"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817" w:rsidRDefault="002D381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563BD0" w:rsidP="00330799">
              <w:pPr>
                <w:pStyle w:val="a3"/>
                <w:jc w:val="center"/>
              </w:pPr>
              <w:r>
                <w:rPr>
                  <w:rFonts w:ascii="Tahoma" w:hAnsi="Tahoma" w:cs="Tahoma"/>
                  <w:b/>
                  <w:bCs/>
                  <w:noProof w:val="0"/>
                  <w:color w:val="000080"/>
                  <w:rtl/>
                </w:rPr>
                <w:t>בית משפט לענייני משפחה בקריית גת</w:t>
              </w:r>
            </w:p>
          </w:tc>
        </w:sdtContent>
      </w:sdt>
    </w:tr>
    <w:tr w:rsidR="00563BD0" w:rsidTr="00563BD0">
      <w:tblPrEx>
        <w:tblLook w:val="0000" w:firstRow="0" w:lastRow="0" w:firstColumn="0" w:lastColumn="0" w:noHBand="0" w:noVBand="0"/>
      </w:tblPrEx>
      <w:trPr>
        <w:trHeight w:val="337"/>
        <w:jc w:val="center"/>
      </w:trPr>
      <w:tc>
        <w:tcPr>
          <w:tcW w:w="8505" w:type="dxa"/>
        </w:tcPr>
        <w:p w:rsidR="00563BD0" w:rsidRDefault="00F7652F" w:rsidP="001259A6">
          <w:pPr>
            <w:rPr>
              <w:b/>
              <w:bCs/>
              <w:noProof w:val="0"/>
              <w:sz w:val="26"/>
              <w:szCs w:val="26"/>
              <w:rtl/>
            </w:rPr>
          </w:pPr>
          <w:sdt>
            <w:sdtPr>
              <w:rPr>
                <w:rtl/>
              </w:rPr>
              <w:alias w:val="1170"/>
              <w:tag w:val="1170"/>
              <w:id w:val="1066377040"/>
              <w:text w:multiLine="1"/>
            </w:sdtPr>
            <w:sdtEndPr/>
            <w:sdtContent>
              <w:r w:rsidR="00563BD0">
                <w:rPr>
                  <w:b/>
                  <w:bCs/>
                  <w:noProof w:val="0"/>
                  <w:sz w:val="26"/>
                  <w:szCs w:val="26"/>
                  <w:rtl/>
                </w:rPr>
                <w:t>תמ"ש</w:t>
              </w:r>
            </w:sdtContent>
          </w:sdt>
          <w:r w:rsidR="00563BD0">
            <w:rPr>
              <w:b/>
              <w:bCs/>
              <w:noProof w:val="0"/>
              <w:sz w:val="26"/>
              <w:szCs w:val="26"/>
              <w:rtl/>
            </w:rPr>
            <w:t xml:space="preserve"> </w:t>
          </w:r>
          <w:bookmarkStart w:id="1" w:name="_GoBack"/>
          <w:sdt>
            <w:sdtPr>
              <w:rPr>
                <w:rtl/>
              </w:rPr>
              <w:alias w:val="1171"/>
              <w:tag w:val="1171"/>
              <w:id w:val="257034231"/>
              <w:text w:multiLine="1"/>
            </w:sdtPr>
            <w:sdtEndPr/>
            <w:sdtContent>
              <w:r w:rsidR="00563BD0">
                <w:rPr>
                  <w:b/>
                  <w:bCs/>
                  <w:noProof w:val="0"/>
                  <w:sz w:val="26"/>
                  <w:szCs w:val="26"/>
                  <w:rtl/>
                </w:rPr>
                <w:t>59006-10-21</w:t>
              </w:r>
            </w:sdtContent>
          </w:sdt>
          <w:bookmarkEnd w:id="1"/>
          <w:r w:rsidR="00563BD0">
            <w:rPr>
              <w:b/>
              <w:bCs/>
              <w:noProof w:val="0"/>
              <w:sz w:val="26"/>
              <w:szCs w:val="26"/>
              <w:rtl/>
            </w:rPr>
            <w:t xml:space="preserve"> </w:t>
          </w:r>
          <w:sdt>
            <w:sdtPr>
              <w:rPr>
                <w:rtl/>
              </w:rPr>
              <w:alias w:val="1172"/>
              <w:tag w:val="1172"/>
              <w:id w:val="-595170033"/>
              <w:text w:multiLine="1"/>
            </w:sdtPr>
            <w:sdtEndPr/>
            <w:sdtContent>
              <w:r w:rsidR="00E221BF">
                <w:rPr>
                  <w:b/>
                  <w:bCs/>
                  <w:noProof w:val="0"/>
                  <w:sz w:val="26"/>
                  <w:szCs w:val="26"/>
                  <w:rtl/>
                </w:rPr>
                <w:t>א</w:t>
              </w:r>
              <w:r w:rsidR="00E221BF">
                <w:rPr>
                  <w:rFonts w:hint="cs"/>
                  <w:b/>
                  <w:bCs/>
                  <w:noProof w:val="0"/>
                  <w:sz w:val="26"/>
                  <w:szCs w:val="26"/>
                  <w:rtl/>
                </w:rPr>
                <w:t>'</w:t>
              </w:r>
              <w:r w:rsidR="00E221BF">
                <w:rPr>
                  <w:b/>
                  <w:bCs/>
                  <w:noProof w:val="0"/>
                  <w:sz w:val="26"/>
                  <w:szCs w:val="26"/>
                  <w:rtl/>
                </w:rPr>
                <w:t xml:space="preserve"> נ' א</w:t>
              </w:r>
              <w:r w:rsidR="00E221BF">
                <w:rPr>
                  <w:rFonts w:hint="cs"/>
                  <w:b/>
                  <w:bCs/>
                  <w:noProof w:val="0"/>
                  <w:sz w:val="26"/>
                  <w:szCs w:val="26"/>
                  <w:rtl/>
                </w:rPr>
                <w:t>'</w:t>
              </w:r>
              <w:r w:rsidR="00563BD0">
                <w:rPr>
                  <w:b/>
                  <w:bCs/>
                  <w:noProof w:val="0"/>
                  <w:sz w:val="26"/>
                  <w:szCs w:val="26"/>
                  <w:rtl/>
                </w:rPr>
                <w:t xml:space="preserve"> ואח'</w:t>
              </w:r>
            </w:sdtContent>
          </w:sdt>
        </w:p>
        <w:p w:rsidR="00563BD0" w:rsidRPr="007B7765" w:rsidRDefault="00563BD0" w:rsidP="001259A6">
          <w:pPr>
            <w:rPr>
              <w:b/>
              <w:bCs/>
              <w:noProof w:val="0"/>
              <w:sz w:val="2"/>
              <w:szCs w:val="2"/>
              <w:rtl/>
            </w:rPr>
          </w:pPr>
        </w:p>
        <w:p w:rsidR="00563BD0" w:rsidRDefault="00563BD0" w:rsidP="001259A6">
          <w:pPr>
            <w:rPr>
              <w:sz w:val="20"/>
              <w:szCs w:val="20"/>
              <w:rtl/>
            </w:rPr>
          </w:pPr>
          <w:r>
            <w:rPr>
              <w:rFonts w:hint="cs"/>
              <w:rtl/>
            </w:rPr>
            <w:t xml:space="preserve">                           </w:t>
          </w:r>
          <w:r>
            <w:rPr>
              <w:rFonts w:hint="cs"/>
              <w:sz w:val="20"/>
              <w:szCs w:val="20"/>
              <w:rtl/>
            </w:rPr>
            <w:t xml:space="preserve">                                       </w:t>
          </w:r>
        </w:p>
        <w:p w:rsidR="00563BD0" w:rsidRPr="00E1068A" w:rsidRDefault="00563BD0" w:rsidP="001259A6">
          <w:pPr>
            <w:rPr>
              <w:rFonts w:hint="cs"/>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7A5547ADA1B040DEB887426F1D0016D4"/>
              </w:placeholder>
              <w:text w:multiLine="1"/>
            </w:sdtPr>
            <w:sdtEndPr/>
            <w:sdtContent/>
          </w:sdt>
          <w:r w:rsidRPr="00E1068A">
            <w:rPr>
              <w:rFonts w:hint="cs"/>
              <w:sz w:val="20"/>
              <w:szCs w:val="20"/>
              <w:rtl/>
            </w:rPr>
            <w:t xml:space="preserve"> </w:t>
          </w:r>
          <w:r w:rsidRPr="00E1068A">
            <w:rPr>
              <w:sz w:val="20"/>
              <w:szCs w:val="20"/>
              <w:rtl/>
            </w:rPr>
            <w:t xml:space="preserve"> </w:t>
          </w:r>
          <w:r>
            <w:rPr>
              <w:sz w:val="20"/>
              <w:szCs w:val="20"/>
              <w:rtl/>
            </w:rPr>
            <w:t xml:space="preserve"> </w:t>
          </w:r>
        </w:p>
      </w:tc>
    </w:tr>
  </w:tbl>
  <w:p w:rsidR="00563BD0" w:rsidRDefault="00563BD0" w:rsidP="00563BD0">
    <w:pPr>
      <w:pStyle w:val="a3"/>
      <w:rPr>
        <w:noProof w:val="0"/>
        <w:rtl/>
      </w:rPr>
    </w:pPr>
    <w:r>
      <w:rPr>
        <w:noProof w:val="0"/>
        <w:rtl/>
      </w:rPr>
      <w:t xml:space="preserve"> </w:t>
    </w:r>
  </w:p>
  <w:p w:rsidR="0000787B" w:rsidRPr="00330799" w:rsidRDefault="00F7652F" w:rsidP="00330799">
    <w:pPr>
      <w:rPr>
        <w:rFonts w:ascii="David" w:hAnsi="David"/>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817" w:rsidRDefault="002D38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0BB0C17"/>
    <w:multiLevelType w:val="hybridMultilevel"/>
    <w:tmpl w:val="2698E2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014"/>
    <w:rsid w:val="00112F6C"/>
    <w:rsid w:val="00123396"/>
    <w:rsid w:val="001F032F"/>
    <w:rsid w:val="00204361"/>
    <w:rsid w:val="002D3817"/>
    <w:rsid w:val="00310C88"/>
    <w:rsid w:val="00330799"/>
    <w:rsid w:val="00414D88"/>
    <w:rsid w:val="004204FE"/>
    <w:rsid w:val="00487C9F"/>
    <w:rsid w:val="00563BD0"/>
    <w:rsid w:val="005C7A13"/>
    <w:rsid w:val="005F3042"/>
    <w:rsid w:val="00671EB3"/>
    <w:rsid w:val="006A10DE"/>
    <w:rsid w:val="0075045D"/>
    <w:rsid w:val="0078662A"/>
    <w:rsid w:val="00832ED3"/>
    <w:rsid w:val="00926C9C"/>
    <w:rsid w:val="00943294"/>
    <w:rsid w:val="00A30504"/>
    <w:rsid w:val="00C1241C"/>
    <w:rsid w:val="00C827A6"/>
    <w:rsid w:val="00CB1E7A"/>
    <w:rsid w:val="00D62C22"/>
    <w:rsid w:val="00D76B8C"/>
    <w:rsid w:val="00DF1F3E"/>
    <w:rsid w:val="00E16B7B"/>
    <w:rsid w:val="00E221BF"/>
    <w:rsid w:val="00E44517"/>
    <w:rsid w:val="00EF7B09"/>
    <w:rsid w:val="00F43693"/>
    <w:rsid w:val="00F7652F"/>
    <w:rsid w:val="00FB248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paragraph" w:styleId="2">
    <w:name w:val="heading 2"/>
    <w:basedOn w:val="a"/>
    <w:next w:val="a"/>
    <w:link w:val="20"/>
    <w:uiPriority w:val="9"/>
    <w:unhideWhenUsed/>
    <w:qFormat/>
    <w:rsid w:val="00FB248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character" w:customStyle="1" w:styleId="20">
    <w:name w:val="כותרת 2 תו"/>
    <w:basedOn w:val="a0"/>
    <w:link w:val="2"/>
    <w:uiPriority w:val="9"/>
    <w:rsid w:val="00FB248E"/>
    <w:rPr>
      <w:rFonts w:asciiTheme="majorHAnsi" w:eastAsiaTheme="majorEastAsia" w:hAnsiTheme="majorHAnsi" w:cstheme="majorBidi"/>
      <w:noProof/>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EC940CC07C542F2B19AC4E3AD9C51C7"/>
        <w:category>
          <w:name w:val="כללי"/>
          <w:gallery w:val="placeholder"/>
        </w:category>
        <w:types>
          <w:type w:val="bbPlcHdr"/>
        </w:types>
        <w:behaviors>
          <w:behavior w:val="content"/>
        </w:behaviors>
        <w:guid w:val="{AE77C3FF-B16F-4D39-A655-F0A3BD2F50C3}"/>
      </w:docPartPr>
      <w:docPartBody>
        <w:p w:rsidR="004F5F8C" w:rsidRDefault="008A098E" w:rsidP="008A098E">
          <w:pPr>
            <w:pStyle w:val="BEC940CC07C542F2B19AC4E3AD9C51C7"/>
          </w:pPr>
          <w:r w:rsidRPr="00E54CD9">
            <w:rPr>
              <w:rFonts w:ascii="Arial" w:hAnsi="Arial" w:hint="eastAsia"/>
              <w:b/>
              <w:bCs/>
              <w:sz w:val="26"/>
              <w:szCs w:val="26"/>
              <w:rtl/>
            </w:rPr>
            <w:t>סוג</w:t>
          </w:r>
          <w:r w:rsidRPr="00E54CD9">
            <w:rPr>
              <w:rFonts w:ascii="Arial" w:hAnsi="Arial"/>
              <w:b/>
              <w:bCs/>
              <w:sz w:val="26"/>
              <w:szCs w:val="26"/>
              <w:rtl/>
            </w:rPr>
            <w:t xml:space="preserve"> זיהוי צד א'</w:t>
          </w:r>
        </w:p>
      </w:docPartBody>
    </w:docPart>
    <w:docPart>
      <w:docPartPr>
        <w:name w:val="DF132CEC568243A3A96CB0E9394D500E"/>
        <w:category>
          <w:name w:val="כללי"/>
          <w:gallery w:val="placeholder"/>
        </w:category>
        <w:types>
          <w:type w:val="bbPlcHdr"/>
        </w:types>
        <w:behaviors>
          <w:behavior w:val="content"/>
        </w:behaviors>
        <w:guid w:val="{AA4013A7-0928-418C-9F7C-8A55AC536C81}"/>
      </w:docPartPr>
      <w:docPartBody>
        <w:p w:rsidR="004F5F8C" w:rsidRDefault="008A098E" w:rsidP="008A098E">
          <w:pPr>
            <w:pStyle w:val="DF132CEC568243A3A96CB0E9394D500E"/>
          </w:pPr>
          <w:r w:rsidRPr="00E54CD9">
            <w:rPr>
              <w:rFonts w:ascii="Arial" w:hAnsi="Arial" w:hint="eastAsia"/>
              <w:b/>
              <w:bCs/>
              <w:sz w:val="26"/>
              <w:szCs w:val="26"/>
              <w:rtl/>
            </w:rPr>
            <w:t>סוג</w:t>
          </w:r>
          <w:r w:rsidRPr="00E54CD9">
            <w:rPr>
              <w:rFonts w:ascii="Arial" w:hAnsi="Arial"/>
              <w:b/>
              <w:bCs/>
              <w:sz w:val="26"/>
              <w:szCs w:val="26"/>
              <w:rtl/>
            </w:rPr>
            <w:t xml:space="preserve"> זיהוי צד ב'</w:t>
          </w:r>
        </w:p>
      </w:docPartBody>
    </w:docPart>
    <w:docPart>
      <w:docPartPr>
        <w:name w:val="4728826DFA3E4A6B8053FEFD62185DE4"/>
        <w:category>
          <w:name w:val="כללי"/>
          <w:gallery w:val="placeholder"/>
        </w:category>
        <w:types>
          <w:type w:val="bbPlcHdr"/>
        </w:types>
        <w:behaviors>
          <w:behavior w:val="content"/>
        </w:behaviors>
        <w:guid w:val="{077EF755-97BF-43B3-8D3B-98EF09BFA7CE}"/>
      </w:docPartPr>
      <w:docPartBody>
        <w:p w:rsidR="004F5F8C" w:rsidRDefault="008A098E" w:rsidP="008A098E">
          <w:pPr>
            <w:pStyle w:val="4728826DFA3E4A6B8053FEFD62185DE4"/>
          </w:pPr>
          <w:r>
            <w:rPr>
              <w:rFonts w:hint="cs"/>
              <w:rtl/>
            </w:rPr>
            <w:t xml:space="preserve">     </w:t>
          </w:r>
        </w:p>
      </w:docPartBody>
    </w:docPart>
    <w:docPart>
      <w:docPartPr>
        <w:name w:val="7A5547ADA1B040DEB887426F1D0016D4"/>
        <w:category>
          <w:name w:val="כללי"/>
          <w:gallery w:val="placeholder"/>
        </w:category>
        <w:types>
          <w:type w:val="bbPlcHdr"/>
        </w:types>
        <w:behaviors>
          <w:behavior w:val="content"/>
        </w:behaviors>
        <w:guid w:val="{C2F4A522-486B-4052-9111-7FE661B53D4D}"/>
      </w:docPartPr>
      <w:docPartBody>
        <w:p w:rsidR="004F5F8C" w:rsidRDefault="008A098E" w:rsidP="008A098E">
          <w:pPr>
            <w:pStyle w:val="7A5547ADA1B040DEB887426F1D0016D4"/>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4E2322"/>
    <w:rsid w:val="004F5F8C"/>
    <w:rsid w:val="008A098E"/>
    <w:rsid w:val="00E17978"/>
    <w:rsid w:val="00E32F84"/>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F94841"/>
  </w:style>
  <w:style w:type="paragraph" w:customStyle="1" w:styleId="AA84A2823C0B45FBAD1A35D5ED710CA8">
    <w:name w:val="AA84A2823C0B45FBAD1A35D5ED710CA8"/>
    <w:rsid w:val="00F94841"/>
    <w:pPr>
      <w:bidi/>
    </w:pPr>
  </w:style>
  <w:style w:type="paragraph" w:customStyle="1" w:styleId="BEC940CC07C542F2B19AC4E3AD9C51C7">
    <w:name w:val="BEC940CC07C542F2B19AC4E3AD9C51C7"/>
    <w:rsid w:val="008A098E"/>
    <w:pPr>
      <w:bidi/>
    </w:pPr>
  </w:style>
  <w:style w:type="paragraph" w:customStyle="1" w:styleId="496CA982F51B43A3ABC92CC39F8ADC6F">
    <w:name w:val="496CA982F51B43A3ABC92CC39F8ADC6F"/>
    <w:rsid w:val="008A098E"/>
    <w:pPr>
      <w:bidi/>
    </w:pPr>
  </w:style>
  <w:style w:type="paragraph" w:customStyle="1" w:styleId="DF132CEC568243A3A96CB0E9394D500E">
    <w:name w:val="DF132CEC568243A3A96CB0E9394D500E"/>
    <w:rsid w:val="008A098E"/>
    <w:pPr>
      <w:bidi/>
    </w:pPr>
  </w:style>
  <w:style w:type="paragraph" w:customStyle="1" w:styleId="D3414D928B5E4E9AAC816CE672EF66E0">
    <w:name w:val="D3414D928B5E4E9AAC816CE672EF66E0"/>
    <w:rsid w:val="008A098E"/>
    <w:pPr>
      <w:bidi/>
    </w:pPr>
  </w:style>
  <w:style w:type="paragraph" w:customStyle="1" w:styleId="4728826DFA3E4A6B8053FEFD62185DE4">
    <w:name w:val="4728826DFA3E4A6B8053FEFD62185DE4"/>
    <w:rsid w:val="008A098E"/>
    <w:pPr>
      <w:bidi/>
    </w:pPr>
  </w:style>
  <w:style w:type="paragraph" w:customStyle="1" w:styleId="7A5547ADA1B040DEB887426F1D0016D4">
    <w:name w:val="7A5547ADA1B040DEB887426F1D0016D4"/>
    <w:rsid w:val="008A098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1981</Words>
  <Characters>9910</Characters>
  <Application>Microsoft Office Word</Application>
  <DocSecurity>0</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2024-06-16T05:02:00Z</dcterms:created>
  <dcterms:modified xsi:type="dcterms:W3CDTF">2024-06-16T05:02:00Z</dcterms:modified>
</cp:coreProperties>
</file>